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F320">
      <w:pPr>
        <w:rPr>
          <w:rFonts w:hint="eastAsia" w:ascii="黑体" w:hAnsi="黑体" w:eastAsia="黑体" w:cs="黑体"/>
          <w:sz w:val="32"/>
          <w:szCs w:val="32"/>
        </w:rPr>
      </w:pPr>
    </w:p>
    <w:p w14:paraId="04D6CBAE">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浙江省普通高等学校本科教育教学</w:t>
      </w:r>
    </w:p>
    <w:p w14:paraId="55CDD016">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审核评估指标体系（试行）</w:t>
      </w:r>
    </w:p>
    <w:p w14:paraId="5C1BC619">
      <w:pPr>
        <w:spacing w:line="360" w:lineRule="auto"/>
        <w:ind w:firstLine="640" w:firstLineChars="200"/>
        <w:rPr>
          <w:rFonts w:ascii="Times New Roman" w:hAnsi="Times New Roman" w:eastAsia="黑体" w:cs="Times New Roman"/>
          <w:sz w:val="32"/>
          <w:szCs w:val="32"/>
        </w:rPr>
      </w:pPr>
    </w:p>
    <w:p w14:paraId="416D787A">
      <w:pPr>
        <w:spacing w:line="360" w:lineRule="auto"/>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、第二类审核评估</w:t>
      </w:r>
    </w:p>
    <w:tbl>
      <w:tblPr>
        <w:tblStyle w:val="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410"/>
        <w:gridCol w:w="1132"/>
        <w:gridCol w:w="5502"/>
      </w:tblGrid>
      <w:tr w14:paraId="5A43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1192" w:type="dxa"/>
            <w:tcBorders>
              <w:top w:val="single" w:color="auto" w:sz="4" w:space="0"/>
              <w:left w:val="single" w:color="auto" w:sz="4" w:space="0"/>
              <w:bottom w:val="single" w:color="auto" w:sz="4" w:space="0"/>
              <w:right w:val="single" w:color="auto" w:sz="4" w:space="0"/>
            </w:tcBorders>
            <w:vAlign w:val="center"/>
          </w:tcPr>
          <w:p w14:paraId="7A184925">
            <w:pPr>
              <w:widowControl/>
              <w:adjustRightInd w:val="0"/>
              <w:snapToGrid w:val="0"/>
              <w:spacing w:line="400" w:lineRule="exact"/>
              <w:jc w:val="center"/>
              <w:rPr>
                <w:rFonts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一级</w:t>
            </w:r>
          </w:p>
          <w:p w14:paraId="4CBF03E7">
            <w:pPr>
              <w:widowControl/>
              <w:adjustRightInd w:val="0"/>
              <w:snapToGrid w:val="0"/>
              <w:spacing w:line="400" w:lineRule="exact"/>
              <w:jc w:val="center"/>
              <w:rPr>
                <w:rFonts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指标</w:t>
            </w:r>
          </w:p>
        </w:tc>
        <w:tc>
          <w:tcPr>
            <w:tcW w:w="1410" w:type="dxa"/>
            <w:tcBorders>
              <w:top w:val="single" w:color="auto" w:sz="4" w:space="0"/>
              <w:left w:val="single" w:color="auto" w:sz="4" w:space="0"/>
              <w:bottom w:val="single" w:color="auto" w:sz="4" w:space="0"/>
              <w:right w:val="single" w:color="auto" w:sz="4" w:space="0"/>
            </w:tcBorders>
            <w:vAlign w:val="center"/>
          </w:tcPr>
          <w:p w14:paraId="1293E8BF">
            <w:pPr>
              <w:widowControl/>
              <w:adjustRightInd w:val="0"/>
              <w:snapToGrid w:val="0"/>
              <w:spacing w:line="400" w:lineRule="exact"/>
              <w:jc w:val="center"/>
              <w:rPr>
                <w:rFonts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二级</w:t>
            </w:r>
          </w:p>
          <w:p w14:paraId="1D793624">
            <w:pPr>
              <w:widowControl/>
              <w:adjustRightInd w:val="0"/>
              <w:snapToGrid w:val="0"/>
              <w:spacing w:line="400" w:lineRule="exact"/>
              <w:jc w:val="center"/>
              <w:rPr>
                <w:rFonts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指标</w:t>
            </w:r>
          </w:p>
        </w:tc>
        <w:tc>
          <w:tcPr>
            <w:gridSpan w:val="2"/>
            <w:tcBorders>
              <w:top w:val="single" w:color="auto" w:sz="4" w:space="0"/>
              <w:left w:val="single" w:color="auto" w:sz="4" w:space="0"/>
              <w:bottom w:val="single" w:color="auto" w:sz="4" w:space="0"/>
              <w:right w:val="single" w:color="auto" w:sz="4" w:space="0"/>
            </w:tcBorders>
            <w:vAlign w:val="center"/>
          </w:tcPr>
          <w:p w14:paraId="54C5E361">
            <w:pPr>
              <w:widowControl/>
              <w:adjustRightInd w:val="0"/>
              <w:snapToGrid w:val="0"/>
              <w:spacing w:line="400" w:lineRule="exact"/>
              <w:jc w:val="center"/>
              <w:rPr>
                <w:rFonts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审核重点</w:t>
            </w:r>
          </w:p>
        </w:tc>
      </w:tr>
      <w:tr w14:paraId="74CD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62371C9F">
            <w:pPr>
              <w:numPr>
                <w:ilvl w:val="0"/>
                <w:numId w:val="1"/>
              </w:numPr>
              <w:adjustRightInd w:val="0"/>
              <w:snapToGrid w:val="0"/>
              <w:spacing w:line="400" w:lineRule="exact"/>
              <w:jc w:val="both"/>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办学方向与本科地位</w:t>
            </w:r>
          </w:p>
          <w:p w14:paraId="79F56855">
            <w:pPr>
              <w:numPr>
                <w:ilvl w:val="0"/>
                <w:numId w:val="0"/>
              </w:numPr>
              <w:adjustRightInd w:val="0"/>
              <w:snapToGrid w:val="0"/>
              <w:spacing w:line="400" w:lineRule="exact"/>
              <w:jc w:val="center"/>
              <w:rPr>
                <w:rFonts w:ascii="Times New Roman" w:hAnsi="Times New Roman" w:eastAsia="仿宋" w:cs="Times New Roman"/>
                <w:b w:val="0"/>
                <w:bCs w:val="0"/>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4568B1B">
            <w:pPr>
              <w:widowControl/>
              <w:adjustRightInd w:val="0"/>
              <w:snapToGrid w:val="0"/>
              <w:spacing w:line="400" w:lineRule="exact"/>
              <w:jc w:val="center"/>
              <w:rPr>
                <w:rFonts w:ascii="Times New Roman" w:hAnsi="Times New Roman" w:eastAsia="仿宋" w:cs="Times New Roman"/>
                <w:b/>
                <w:bCs/>
                <w:color w:val="000000"/>
                <w:kern w:val="0"/>
                <w:sz w:val="28"/>
                <w:szCs w:val="28"/>
              </w:rPr>
            </w:pPr>
            <w:r>
              <w:rPr>
                <w:rFonts w:hint="default" w:ascii="Times New Roman" w:hAnsi="Times New Roman" w:eastAsia="仿宋" w:cs="Times New Roman"/>
                <w:color w:val="000000"/>
                <w:kern w:val="0"/>
                <w:sz w:val="28"/>
                <w:szCs w:val="28"/>
              </w:rPr>
              <w:t>1.1党的领导</w:t>
            </w:r>
          </w:p>
        </w:tc>
        <w:tc>
          <w:tcPr>
            <w:gridSpan w:val="2"/>
            <w:tcBorders>
              <w:top w:val="single" w:color="auto" w:sz="4" w:space="0"/>
              <w:left w:val="single" w:color="auto" w:sz="4" w:space="0"/>
              <w:bottom w:val="single" w:color="auto" w:sz="4" w:space="0"/>
              <w:right w:val="single" w:color="auto" w:sz="4" w:space="0"/>
            </w:tcBorders>
            <w:vAlign w:val="center"/>
          </w:tcPr>
          <w:p w14:paraId="6D70F1FF">
            <w:pPr>
              <w:widowControl/>
              <w:adjustRightInd w:val="0"/>
              <w:snapToGrid w:val="0"/>
              <w:spacing w:line="400" w:lineRule="exact"/>
              <w:rPr>
                <w:rFonts w:ascii="Times New Roman" w:hAnsi="Times New Roman" w:eastAsia="仿宋" w:cs="Times New Roman"/>
                <w:b/>
                <w:bCs/>
                <w:color w:val="000000"/>
                <w:kern w:val="0"/>
                <w:sz w:val="28"/>
                <w:szCs w:val="28"/>
              </w:rPr>
            </w:pPr>
            <w:r>
              <w:rPr>
                <w:rFonts w:hint="default" w:ascii="Times New Roman" w:hAnsi="Times New Roman" w:eastAsia="仿宋" w:cs="Times New Roman"/>
                <w:color w:val="000000"/>
                <w:kern w:val="0"/>
                <w:sz w:val="28"/>
                <w:szCs w:val="28"/>
              </w:rPr>
              <w:t>1.1.1学校坚持党的全面领导</w:t>
            </w:r>
            <w:r>
              <w:rPr>
                <w:rFonts w:hint="default" w:ascii="Times New Roman" w:hAnsi="Times New Roman" w:eastAsia="仿宋" w:cs="Times New Roman"/>
                <w:kern w:val="0"/>
                <w:sz w:val="28"/>
                <w:szCs w:val="28"/>
              </w:rPr>
              <w:t>，依法治教、依法办学、依法治校，围绕国家战略需求培养担当民族复兴大任的时代新人</w:t>
            </w:r>
            <w:r>
              <w:rPr>
                <w:rFonts w:hint="default" w:ascii="Times New Roman" w:hAnsi="Times New Roman" w:eastAsia="仿宋" w:cs="Times New Roman"/>
                <w:color w:val="000000"/>
                <w:kern w:val="0"/>
                <w:sz w:val="28"/>
                <w:szCs w:val="28"/>
              </w:rPr>
              <w:t>情况</w:t>
            </w:r>
          </w:p>
        </w:tc>
      </w:tr>
      <w:tr w14:paraId="4563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5051412">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ACF4607">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4F6C7704">
            <w:pPr>
              <w:widowControl/>
              <w:adjustRightInd w:val="0"/>
              <w:snapToGrid w:val="0"/>
              <w:spacing w:line="400" w:lineRule="exact"/>
              <w:rPr>
                <w:rFonts w:ascii="Times New Roman" w:hAnsi="Times New Roman" w:eastAsia="仿宋" w:cs="Times New Roman"/>
                <w:b/>
                <w:bCs/>
                <w:color w:val="000000"/>
                <w:kern w:val="0"/>
                <w:sz w:val="28"/>
                <w:szCs w:val="28"/>
              </w:rPr>
            </w:pPr>
            <w:r>
              <w:rPr>
                <w:rFonts w:hint="default" w:ascii="Times New Roman" w:hAnsi="Times New Roman" w:eastAsia="仿宋" w:cs="Times New Roman"/>
                <w:color w:val="000000"/>
                <w:kern w:val="0"/>
                <w:sz w:val="28"/>
                <w:szCs w:val="28"/>
              </w:rPr>
              <w:t>1.1.2学校坚持社会主义办学方向、贯彻落实立德树人根本任务</w:t>
            </w:r>
            <w:r>
              <w:rPr>
                <w:rFonts w:hint="default" w:ascii="Times New Roman" w:hAnsi="Times New Roman" w:eastAsia="仿宋" w:cs="Times New Roman"/>
                <w:kern w:val="0"/>
                <w:sz w:val="28"/>
                <w:szCs w:val="28"/>
              </w:rPr>
              <w:t>、</w:t>
            </w:r>
            <w:r>
              <w:rPr>
                <w:rFonts w:hint="default" w:ascii="Times New Roman" w:hAnsi="Times New Roman" w:eastAsia="仿宋" w:cs="Times New Roman"/>
                <w:kern w:val="0"/>
                <w:sz w:val="28"/>
                <w:szCs w:val="28"/>
                <w:lang w:val="zh-TW"/>
              </w:rPr>
              <w:t>把立德树人成效作为检验学校一切工作的根本标准情况</w:t>
            </w:r>
          </w:p>
        </w:tc>
      </w:tr>
      <w:tr w14:paraId="55E2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C32DBDC">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092EB26">
            <w:pPr>
              <w:widowControl/>
              <w:adjustRightInd w:val="0"/>
              <w:snapToGrid w:val="0"/>
              <w:spacing w:line="400" w:lineRule="exact"/>
              <w:jc w:val="center"/>
              <w:rPr>
                <w:rFonts w:ascii="Times New Roman" w:hAnsi="Times New Roman" w:eastAsia="仿宋" w:cs="Times New Roman"/>
                <w:b/>
                <w:bCs/>
                <w:color w:val="000000"/>
                <w:kern w:val="0"/>
                <w:sz w:val="28"/>
                <w:szCs w:val="28"/>
              </w:rPr>
            </w:pPr>
            <w:r>
              <w:rPr>
                <w:rFonts w:hint="default" w:ascii="Times New Roman" w:hAnsi="Times New Roman" w:eastAsia="仿宋" w:cs="Times New Roman"/>
                <w:color w:val="000000"/>
                <w:kern w:val="0"/>
                <w:sz w:val="28"/>
                <w:szCs w:val="28"/>
              </w:rPr>
              <w:t>1.2思政教育</w:t>
            </w:r>
          </w:p>
        </w:tc>
        <w:tc>
          <w:tcPr>
            <w:gridSpan w:val="2"/>
            <w:tcBorders>
              <w:top w:val="single" w:color="auto" w:sz="4" w:space="0"/>
              <w:left w:val="single" w:color="auto" w:sz="4" w:space="0"/>
              <w:bottom w:val="single" w:color="auto" w:sz="4" w:space="0"/>
              <w:right w:val="single" w:color="auto" w:sz="4" w:space="0"/>
            </w:tcBorders>
            <w:vAlign w:val="center"/>
          </w:tcPr>
          <w:p w14:paraId="381E9313">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1.2.1思想政治工作体系建设和“三全育人”工作格局建立情况</w:t>
            </w:r>
          </w:p>
        </w:tc>
      </w:tr>
      <w:tr w14:paraId="468D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60DE279">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F1965DA">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C5378F2">
            <w:pPr>
              <w:widowControl/>
              <w:adjustRightInd w:val="0"/>
              <w:snapToGrid w:val="0"/>
              <w:spacing w:line="400" w:lineRule="exact"/>
              <w:rPr>
                <w:rFonts w:ascii="Times New Roman" w:hAnsi="Times New Roman" w:eastAsia="仿宋" w:cs="Times New Roman"/>
                <w:color w:val="auto"/>
                <w:kern w:val="0"/>
                <w:sz w:val="28"/>
                <w:szCs w:val="28"/>
              </w:rPr>
            </w:pPr>
            <w:r>
              <w:rPr>
                <w:rFonts w:hint="default" w:ascii="Times New Roman" w:hAnsi="Times New Roman" w:eastAsia="仿宋" w:cs="Times New Roman"/>
                <w:color w:val="000000"/>
                <w:kern w:val="0"/>
                <w:sz w:val="28"/>
                <w:szCs w:val="28"/>
              </w:rPr>
              <w:t>1.2.2加强思想政治理论课教师队伍和思政课程建设情况，</w:t>
            </w:r>
            <w:r>
              <w:rPr>
                <w:rFonts w:hint="default" w:ascii="Times New Roman" w:hAnsi="Times New Roman" w:eastAsia="仿宋" w:cs="Times New Roman"/>
                <w:kern w:val="0"/>
                <w:sz w:val="28"/>
                <w:szCs w:val="28"/>
              </w:rPr>
              <w:t>按要求</w:t>
            </w:r>
            <w:r>
              <w:rPr>
                <w:rFonts w:hint="default" w:ascii="Times New Roman" w:hAnsi="Times New Roman" w:eastAsia="仿宋" w:cs="Times New Roman"/>
                <w:color w:val="auto"/>
                <w:kern w:val="0"/>
                <w:sz w:val="28"/>
                <w:szCs w:val="28"/>
              </w:rPr>
              <w:t>开设“习近平新时代中国特色社会主义思想概论”课程情况</w:t>
            </w:r>
          </w:p>
          <w:p w14:paraId="2B5A083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【必选】思政课专任教师与折合在校生比例≥1:350</w:t>
            </w:r>
          </w:p>
          <w:p w14:paraId="45DE9182">
            <w:pPr>
              <w:widowControl/>
              <w:adjustRightInd w:val="0"/>
              <w:snapToGrid w:val="0"/>
              <w:spacing w:line="400" w:lineRule="exact"/>
              <w:rPr>
                <w:rFonts w:ascii="Times New Roman" w:hAnsi="Times New Roman" w:eastAsia="仿宋" w:cs="Times New Roman"/>
                <w:sz w:val="28"/>
                <w:szCs w:val="28"/>
              </w:rPr>
            </w:pPr>
            <w:r>
              <w:rPr>
                <w:rFonts w:hint="default" w:ascii="Times New Roman" w:hAnsi="Times New Roman" w:eastAsia="仿宋" w:cs="Times New Roman"/>
                <w:sz w:val="28"/>
                <w:szCs w:val="28"/>
              </w:rPr>
              <w:t>【必选】专职党务工作人员和思想政治工作人员总数与全校师生人数比例≥1:100</w:t>
            </w:r>
          </w:p>
          <w:p w14:paraId="2B5C8831">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w:t>
            </w:r>
            <w:r>
              <w:rPr>
                <w:rFonts w:hint="default" w:ascii="Times New Roman" w:hAnsi="Times New Roman" w:eastAsia="仿宋" w:cs="Times New Roman"/>
                <w:sz w:val="28"/>
                <w:szCs w:val="28"/>
              </w:rPr>
              <w:t>生均思政工作和党务工作队伍建设专项经费≥20元</w:t>
            </w:r>
          </w:p>
          <w:p w14:paraId="2398D20E">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sz w:val="28"/>
                <w:szCs w:val="28"/>
              </w:rPr>
              <w:t>【必选】生均网络思政工作专项经费≥40元</w:t>
            </w:r>
          </w:p>
        </w:tc>
      </w:tr>
      <w:tr w14:paraId="0149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E53236C">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991096E">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500C71A9">
            <w:pPr>
              <w:widowControl/>
              <w:adjustRightInd w:val="0"/>
              <w:snapToGrid w:val="0"/>
              <w:spacing w:line="400" w:lineRule="exact"/>
              <w:rPr>
                <w:rFonts w:ascii="Times New Roman" w:hAnsi="Times New Roman" w:eastAsia="仿宋" w:cs="Times New Roman"/>
                <w:color w:val="000000"/>
                <w:kern w:val="0"/>
                <w:sz w:val="28"/>
                <w:szCs w:val="28"/>
                <w:highlight w:val="yellow"/>
              </w:rPr>
            </w:pPr>
            <w:r>
              <w:rPr>
                <w:rFonts w:hint="default" w:ascii="Times New Roman" w:hAnsi="Times New Roman" w:eastAsia="仿宋" w:cs="Times New Roman"/>
                <w:color w:val="000000"/>
                <w:kern w:val="0"/>
                <w:sz w:val="28"/>
                <w:szCs w:val="28"/>
                <w:highlight w:val="yellow"/>
              </w:rPr>
              <w:t>1.2.3“课程思政”建设与成效，课程思政示范课程、</w:t>
            </w:r>
            <w:r>
              <w:rPr>
                <w:rFonts w:hint="default" w:ascii="Times New Roman" w:hAnsi="Times New Roman" w:eastAsia="仿宋" w:cs="Times New Roman"/>
                <w:color w:val="FF0000"/>
                <w:kern w:val="0"/>
                <w:sz w:val="28"/>
                <w:szCs w:val="28"/>
                <w:highlight w:val="yellow"/>
                <w:lang w:eastAsia="zh-CN"/>
              </w:rPr>
              <w:t>教学研究项目、基层教学组织、</w:t>
            </w:r>
            <w:r>
              <w:rPr>
                <w:rFonts w:hint="default" w:ascii="Times New Roman" w:hAnsi="Times New Roman" w:eastAsia="仿宋" w:cs="Times New Roman"/>
                <w:color w:val="000000"/>
                <w:kern w:val="0"/>
                <w:sz w:val="28"/>
                <w:szCs w:val="28"/>
                <w:highlight w:val="yellow"/>
              </w:rPr>
              <w:t>教学研究示范中心</w:t>
            </w:r>
            <w:r>
              <w:rPr>
                <w:rFonts w:hint="default" w:ascii="Times New Roman" w:hAnsi="Times New Roman" w:eastAsia="仿宋" w:cs="Times New Roman"/>
                <w:color w:val="000000"/>
                <w:kern w:val="0"/>
                <w:sz w:val="28"/>
                <w:szCs w:val="28"/>
                <w:highlight w:val="yellow"/>
                <w:lang w:eastAsia="zh-CN"/>
              </w:rPr>
              <w:t>和</w:t>
            </w:r>
            <w:r>
              <w:rPr>
                <w:rFonts w:hint="default" w:ascii="Times New Roman" w:hAnsi="Times New Roman" w:eastAsia="仿宋" w:cs="Times New Roman"/>
                <w:color w:val="FF0000"/>
                <w:kern w:val="0"/>
                <w:sz w:val="28"/>
                <w:szCs w:val="28"/>
                <w:highlight w:val="yellow"/>
                <w:lang w:eastAsia="zh-CN"/>
              </w:rPr>
              <w:t>示范校</w:t>
            </w:r>
            <w:r>
              <w:rPr>
                <w:rFonts w:hint="default" w:ascii="Times New Roman" w:hAnsi="Times New Roman" w:eastAsia="仿宋" w:cs="Times New Roman"/>
                <w:color w:val="000000"/>
                <w:kern w:val="0"/>
                <w:sz w:val="28"/>
                <w:szCs w:val="28"/>
                <w:highlight w:val="yellow"/>
              </w:rPr>
              <w:t>以及课程思政教学名师和团队的建设及选树情况</w:t>
            </w:r>
          </w:p>
        </w:tc>
      </w:tr>
      <w:tr w14:paraId="26B1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C161D58">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4FA9DC4">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14E62607">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kern w:val="0"/>
                <w:sz w:val="28"/>
                <w:szCs w:val="28"/>
              </w:rPr>
              <w:t>1.2.4学校对教师、学生出现思想政治、道德品质等负面问题能否及时发现和妥当处置情况</w:t>
            </w:r>
          </w:p>
        </w:tc>
      </w:tr>
      <w:tr w14:paraId="2F12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2AAF70B">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0E4813FB">
            <w:pPr>
              <w:widowControl/>
              <w:adjustRightInd w:val="0"/>
              <w:snapToGrid w:val="0"/>
              <w:spacing w:line="400" w:lineRule="exact"/>
              <w:jc w:val="center"/>
              <w:rPr>
                <w:rFonts w:ascii="Times New Roman" w:hAnsi="Times New Roman" w:eastAsia="仿宋" w:cs="Times New Roman"/>
                <w:b/>
                <w:bCs/>
                <w:color w:val="000000"/>
                <w:kern w:val="0"/>
                <w:sz w:val="28"/>
                <w:szCs w:val="28"/>
              </w:rPr>
            </w:pPr>
            <w:r>
              <w:rPr>
                <w:rFonts w:hint="default" w:ascii="Times New Roman" w:hAnsi="Times New Roman" w:eastAsia="仿宋" w:cs="Times New Roman"/>
                <w:color w:val="000000"/>
                <w:kern w:val="0"/>
                <w:sz w:val="28"/>
                <w:szCs w:val="28"/>
              </w:rPr>
              <w:t>1.3本科地位</w:t>
            </w:r>
          </w:p>
        </w:tc>
        <w:tc>
          <w:tcPr>
            <w:gridSpan w:val="2"/>
            <w:tcBorders>
              <w:top w:val="single" w:color="auto" w:sz="4" w:space="0"/>
              <w:left w:val="single" w:color="auto" w:sz="4" w:space="0"/>
              <w:bottom w:val="single" w:color="auto" w:sz="4" w:space="0"/>
              <w:right w:val="single" w:color="auto" w:sz="4" w:space="0"/>
            </w:tcBorders>
            <w:vAlign w:val="center"/>
          </w:tcPr>
          <w:p w14:paraId="31D2783E">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1.3.1“以本为本”落实情况，党委重视、校长主抓、院长落实的本科教育良好氛围形成情况</w:t>
            </w:r>
          </w:p>
        </w:tc>
      </w:tr>
      <w:tr w14:paraId="4893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8FB38DD">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57E1525">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4A8D7188">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1.3.2“四个回归”的实现情况，推进学生刻苦读书学习、教师潜心教书育人、学校倾心培养社会主义建设者和接班人等方面的举措与成效</w:t>
            </w:r>
          </w:p>
        </w:tc>
      </w:tr>
      <w:tr w14:paraId="74FF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3CD204D">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B6E532A">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54E9D621">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1.3.3教学经费、教学资源条件、教师精力投入等优先保障本科教学的机制建设情况</w:t>
            </w:r>
          </w:p>
          <w:p w14:paraId="19971EC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w:t>
            </w:r>
            <w:r>
              <w:rPr>
                <w:rFonts w:hint="default" w:ascii="Times New Roman" w:hAnsi="Times New Roman" w:eastAsia="仿宋" w:cs="Times New Roman"/>
                <w:kern w:val="0"/>
                <w:sz w:val="28"/>
                <w:szCs w:val="28"/>
              </w:rPr>
              <w:t>生均年教学日常运行支出≥1200元（备注5）</w:t>
            </w:r>
          </w:p>
          <w:p w14:paraId="6934C0B3">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w:t>
            </w:r>
            <w:r>
              <w:rPr>
                <w:rFonts w:hint="default" w:ascii="Times New Roman" w:hAnsi="Times New Roman" w:eastAsia="仿宋" w:cs="Times New Roman"/>
                <w:kern w:val="0"/>
                <w:sz w:val="28"/>
                <w:szCs w:val="28"/>
              </w:rPr>
              <w:t>教学日常运行支出占经常性预算内教育事业费拨款（205类教育拨款扣除专项拨款）与学费收入之和的比例≥13%（教学日常运行支出统计要求见备注5）</w:t>
            </w:r>
          </w:p>
          <w:p w14:paraId="62116C9C">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【必选】年新增教学科研仪器设备值所占比例（要求见备注6）</w:t>
            </w:r>
          </w:p>
          <w:p w14:paraId="337FFC01">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【必选】生均教学科研仪器设备值（要求见备注7）</w:t>
            </w:r>
          </w:p>
        </w:tc>
      </w:tr>
      <w:tr w14:paraId="1CAF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47FA42D">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E3C2C4A">
            <w:pPr>
              <w:widowControl/>
              <w:adjustRightInd w:val="0"/>
              <w:snapToGrid w:val="0"/>
              <w:spacing w:line="400" w:lineRule="exact"/>
              <w:jc w:val="left"/>
              <w:rPr>
                <w:rFonts w:ascii="Times New Roman" w:hAnsi="Times New Roman" w:eastAsia="仿宋" w:cs="Times New Roman"/>
                <w:b/>
                <w:bCs/>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4C08AF24">
            <w:pPr>
              <w:widowControl/>
              <w:adjustRightInd w:val="0"/>
              <w:snapToGrid w:val="0"/>
              <w:spacing w:line="400" w:lineRule="exac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1.3.4学校各职能部门服务本科教育教学工作情况，本科教育教学工作在学校年度考核中的比重情况</w:t>
            </w:r>
          </w:p>
          <w:p w14:paraId="267E75BC">
            <w:pPr>
              <w:widowControl/>
              <w:adjustRightInd w:val="0"/>
              <w:snapToGrid w:val="0"/>
              <w:spacing w:line="400" w:lineRule="exac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8"/>
                <w:szCs w:val="28"/>
                <w:highlight w:val="yellow"/>
              </w:rPr>
              <w:t>1.3.</w:t>
            </w:r>
            <w:r>
              <w:rPr>
                <w:rFonts w:hint="default" w:ascii="Times New Roman" w:hAnsi="Times New Roman" w:eastAsia="仿宋" w:cs="Times New Roman"/>
                <w:color w:val="FF0000"/>
                <w:kern w:val="0"/>
                <w:sz w:val="28"/>
                <w:szCs w:val="28"/>
                <w:highlight w:val="yellow"/>
                <w:lang w:val="en-US" w:eastAsia="zh-CN"/>
              </w:rPr>
              <w:t>5</w:t>
            </w:r>
            <w:r>
              <w:rPr>
                <w:rFonts w:hint="default" w:ascii="Times New Roman" w:hAnsi="Times New Roman" w:eastAsia="仿宋" w:cs="Times New Roman"/>
                <w:color w:val="FF0000"/>
                <w:kern w:val="0"/>
                <w:sz w:val="28"/>
                <w:szCs w:val="28"/>
                <w:highlight w:val="yellow"/>
                <w:lang w:eastAsia="zh-CN"/>
              </w:rPr>
              <w:t>专职教学管理人员队伍建设</w:t>
            </w:r>
            <w:r>
              <w:rPr>
                <w:rFonts w:hint="default" w:ascii="Times New Roman" w:hAnsi="Times New Roman" w:eastAsia="仿宋" w:cs="Times New Roman"/>
                <w:color w:val="FF0000"/>
                <w:kern w:val="0"/>
                <w:sz w:val="28"/>
                <w:szCs w:val="28"/>
                <w:highlight w:val="yellow"/>
              </w:rPr>
              <w:t>情况</w:t>
            </w:r>
            <w:r>
              <w:rPr>
                <w:rFonts w:hint="default" w:ascii="Times New Roman" w:hAnsi="Times New Roman" w:eastAsia="仿宋" w:cs="Times New Roman"/>
                <w:color w:val="FF0000"/>
                <w:kern w:val="0"/>
                <w:sz w:val="28"/>
                <w:szCs w:val="28"/>
                <w:highlight w:val="yellow"/>
                <w:lang w:eastAsia="zh-CN"/>
              </w:rPr>
              <w:t>，本科教育专职教学管理人员与在校普通本科生人数的比例</w:t>
            </w:r>
          </w:p>
        </w:tc>
      </w:tr>
      <w:tr w14:paraId="5406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5C717D21">
            <w:pPr>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2.培养过程</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1D1BECAA">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2.1培养方案</w:t>
            </w:r>
          </w:p>
        </w:tc>
        <w:tc>
          <w:tcPr>
            <w:gridSpan w:val="2"/>
            <w:tcBorders>
              <w:top w:val="single" w:color="auto" w:sz="4" w:space="0"/>
              <w:left w:val="single" w:color="auto" w:sz="4" w:space="0"/>
              <w:bottom w:val="single" w:color="auto" w:sz="4" w:space="0"/>
              <w:right w:val="single" w:color="auto" w:sz="4" w:space="0"/>
            </w:tcBorders>
            <w:vAlign w:val="center"/>
          </w:tcPr>
          <w:p w14:paraId="6C650778">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2.1.1培养目标符合学校定位、适应社会经济发展需要、体现学生德智体美劳全面发展情况</w:t>
            </w:r>
          </w:p>
        </w:tc>
      </w:tr>
      <w:tr w14:paraId="753A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35A8B3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6DB8D5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4E84A91D">
            <w:pPr>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2.1.2培养方案符合国家专业类标准、体现产出导向理念情况</w:t>
            </w:r>
          </w:p>
          <w:p w14:paraId="216DFF2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【必选】学生毕业必须修满的公共艺术课程学分数≥2学分</w:t>
            </w:r>
          </w:p>
          <w:p w14:paraId="764D3D26">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【必选】劳动教育必修课或必修课程中劳动教育模块学时总数≥32学时</w:t>
            </w:r>
          </w:p>
        </w:tc>
      </w:tr>
      <w:tr w14:paraId="533D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1AC8F2E">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2AA97F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4FCF6AE9">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B2.1.3</w:t>
            </w:r>
          </w:p>
        </w:tc>
        <w:tc>
          <w:tcPr>
            <w:tcBorders>
              <w:top w:val="single" w:color="auto" w:sz="4" w:space="0"/>
              <w:left w:val="single" w:color="auto" w:sz="4" w:space="0"/>
              <w:bottom w:val="single" w:color="auto" w:sz="4" w:space="0"/>
              <w:right w:val="single" w:color="auto" w:sz="4" w:space="0"/>
            </w:tcBorders>
            <w:vAlign w:val="center"/>
          </w:tcPr>
          <w:p w14:paraId="07BD49A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B1培养方案强化理论基础、突出科教融合、注重培养学生创新能力情况</w:t>
            </w:r>
          </w:p>
        </w:tc>
      </w:tr>
      <w:tr w14:paraId="6C9D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4AF9F5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5F252A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6A0AF568">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527BDFC2">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B2培养方案强化实践教学、突出实验实训内容的基础性和应用性、注重培养学生应用能力情况</w:t>
            </w:r>
          </w:p>
        </w:tc>
      </w:tr>
      <w:tr w14:paraId="7D71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56093D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0FC38693">
            <w:pPr>
              <w:adjustRightInd w:val="0"/>
              <w:snapToGrid w:val="0"/>
              <w:spacing w:line="400" w:lineRule="exact"/>
              <w:jc w:val="center"/>
              <w:rPr>
                <w:rFonts w:ascii="Times New Roman" w:hAnsi="Times New Roman" w:eastAsia="仿宋" w:cs="Times New Roman"/>
                <w:color w:val="FF0000"/>
                <w:kern w:val="0"/>
                <w:sz w:val="28"/>
                <w:szCs w:val="28"/>
              </w:rPr>
            </w:pPr>
            <w:r>
              <w:rPr>
                <w:rFonts w:hint="default" w:ascii="Times New Roman" w:hAnsi="Times New Roman" w:eastAsia="仿宋" w:cs="Times New Roman"/>
                <w:color w:val="000000"/>
                <w:kern w:val="0"/>
                <w:sz w:val="28"/>
                <w:szCs w:val="28"/>
              </w:rPr>
              <w:t>2.2专业建设</w:t>
            </w:r>
          </w:p>
        </w:tc>
        <w:tc>
          <w:tcPr>
            <w:vMerge w:val="restart"/>
            <w:tcBorders>
              <w:top w:val="single" w:color="auto" w:sz="4" w:space="0"/>
              <w:left w:val="single" w:color="auto" w:sz="4" w:space="0"/>
              <w:bottom w:val="single" w:color="auto" w:sz="4" w:space="0"/>
              <w:right w:val="single" w:color="auto" w:sz="4" w:space="0"/>
            </w:tcBorders>
            <w:vAlign w:val="center"/>
          </w:tcPr>
          <w:p w14:paraId="2E8A9288">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B2.2.1</w:t>
            </w:r>
          </w:p>
        </w:tc>
        <w:tc>
          <w:tcPr>
            <w:tcBorders>
              <w:top w:val="single" w:color="auto" w:sz="4" w:space="0"/>
              <w:left w:val="single" w:color="auto" w:sz="4" w:space="0"/>
              <w:bottom w:val="single" w:color="auto" w:sz="4" w:space="0"/>
              <w:right w:val="single" w:color="auto" w:sz="4" w:space="0"/>
            </w:tcBorders>
            <w:vAlign w:val="center"/>
          </w:tcPr>
          <w:p w14:paraId="2C1A8AD1">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B1专业设置、专业建设与国家重大发展战略及社会对创新型人才需求的契合情况</w:t>
            </w:r>
          </w:p>
          <w:p w14:paraId="6A9D3EDF">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【必选】通过认证（评估）的专业占专业总数的比例</w:t>
            </w:r>
          </w:p>
          <w:p w14:paraId="058F177F">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【可选】近三年新增专业数</w:t>
            </w:r>
          </w:p>
          <w:p w14:paraId="4E022EC2">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【可选】近三年停招专业数</w:t>
            </w:r>
          </w:p>
        </w:tc>
      </w:tr>
      <w:tr w14:paraId="79A7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B120BF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D53E8C4">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2099021A">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5C3B354B">
            <w:pPr>
              <w:widowControl/>
              <w:adjustRightInd w:val="0"/>
              <w:snapToGrid w:val="0"/>
              <w:spacing w:line="400" w:lineRule="exact"/>
              <w:rPr>
                <w:rFonts w:ascii="Times New Roman" w:hAnsi="Times New Roman" w:eastAsia="仿宋" w:cs="Times New Roman"/>
                <w:color w:val="000000"/>
                <w:spacing w:val="-2"/>
                <w:kern w:val="0"/>
                <w:sz w:val="28"/>
                <w:szCs w:val="28"/>
              </w:rPr>
            </w:pPr>
            <w:r>
              <w:rPr>
                <w:rFonts w:hint="default" w:ascii="Times New Roman" w:hAnsi="Times New Roman" w:eastAsia="仿宋" w:cs="Times New Roman"/>
                <w:color w:val="000000"/>
                <w:spacing w:val="-2"/>
                <w:kern w:val="0"/>
                <w:sz w:val="28"/>
                <w:szCs w:val="28"/>
              </w:rPr>
              <w:t>B2专业设置、专业建设与国家需要、区域经济社会发展及产业发展对应用型人才需求的契合情况</w:t>
            </w:r>
          </w:p>
          <w:p w14:paraId="7FC871A7">
            <w:pPr>
              <w:widowControl/>
              <w:adjustRightInd w:val="0"/>
              <w:snapToGrid w:val="0"/>
              <w:spacing w:line="400" w:lineRule="exact"/>
              <w:rPr>
                <w:rFonts w:ascii="Times New Roman" w:hAnsi="Times New Roman" w:eastAsia="仿宋" w:cs="Times New Roman"/>
                <w:color w:val="000000"/>
                <w:spacing w:val="-2"/>
                <w:kern w:val="0"/>
                <w:sz w:val="28"/>
                <w:szCs w:val="28"/>
              </w:rPr>
            </w:pPr>
            <w:r>
              <w:rPr>
                <w:rFonts w:hint="default" w:ascii="Times New Roman" w:hAnsi="Times New Roman" w:eastAsia="仿宋" w:cs="Times New Roman"/>
                <w:color w:val="000000"/>
                <w:kern w:val="0"/>
                <w:sz w:val="28"/>
                <w:szCs w:val="28"/>
              </w:rPr>
              <w:t>【必选】通过认证（评估）的专业占专业总数的比例</w:t>
            </w:r>
          </w:p>
          <w:p w14:paraId="0CD0A4B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【可选】近三年新增专业数</w:t>
            </w:r>
          </w:p>
          <w:p w14:paraId="740489A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【可选】近三年停招专业数</w:t>
            </w:r>
          </w:p>
        </w:tc>
      </w:tr>
      <w:tr w14:paraId="6A7C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6609E2F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A4D70C2">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50252751">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B2.2.2</w:t>
            </w:r>
          </w:p>
        </w:tc>
        <w:tc>
          <w:tcPr>
            <w:tcBorders>
              <w:top w:val="single" w:color="auto" w:sz="4" w:space="0"/>
              <w:left w:val="single" w:color="auto" w:sz="4" w:space="0"/>
              <w:bottom w:val="single" w:color="auto" w:sz="4" w:space="0"/>
              <w:right w:val="single" w:color="auto" w:sz="4" w:space="0"/>
            </w:tcBorders>
          </w:tcPr>
          <w:p w14:paraId="1A82B271">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B1围绕国家和区域经济发展需求，建立自主性、灵活性与规范性、稳定性相统一的专业设置管理体系情况</w:t>
            </w:r>
          </w:p>
        </w:tc>
      </w:tr>
      <w:tr w14:paraId="2D5C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B8C66CE">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0ED48B5">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1E15B5E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12B4065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B2围绕产业链、创新链建立自主性、灵活性与规范性、稳定性相统一的专业设置管理体系情况</w:t>
            </w:r>
          </w:p>
        </w:tc>
      </w:tr>
      <w:tr w14:paraId="0025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399619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9A52AB3">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661B7798">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2.2.3学校通过主辅修、微专业和双学士学位培养等举措促进复合型人才培养情况</w:t>
            </w:r>
          </w:p>
        </w:tc>
      </w:tr>
      <w:tr w14:paraId="71A9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68A14427">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79EBE78A">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2.3实践教学</w:t>
            </w:r>
          </w:p>
        </w:tc>
        <w:tc>
          <w:tcPr>
            <w:gridSpan w:val="2"/>
            <w:tcBorders>
              <w:top w:val="single" w:color="auto" w:sz="4" w:space="0"/>
              <w:left w:val="single" w:color="auto" w:sz="4" w:space="0"/>
              <w:bottom w:val="single" w:color="auto" w:sz="4" w:space="0"/>
              <w:right w:val="single" w:color="auto" w:sz="4" w:space="0"/>
            </w:tcBorders>
            <w:vAlign w:val="center"/>
          </w:tcPr>
          <w:p w14:paraId="05577273">
            <w:pPr>
              <w:tabs>
                <w:tab w:val="left" w:pos="2257"/>
              </w:tabs>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color w:val="000000"/>
                <w:kern w:val="0"/>
                <w:sz w:val="28"/>
                <w:szCs w:val="28"/>
              </w:rPr>
              <w:t>2.3.1</w:t>
            </w:r>
            <w:r>
              <w:rPr>
                <w:rFonts w:hint="default" w:ascii="Times New Roman" w:hAnsi="Times New Roman" w:eastAsia="仿宋" w:cs="Times New Roman"/>
                <w:kern w:val="0"/>
                <w:sz w:val="28"/>
                <w:szCs w:val="28"/>
              </w:rPr>
              <w:t>强化实践育人、构建实践教学体系、推动实践教学改革情况</w:t>
            </w:r>
          </w:p>
          <w:p w14:paraId="0CB0F82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【必选】实践教学学分占总学分（学时）比例（人文社科类专业≥15%，理工农医类专业≥25%）</w:t>
            </w:r>
          </w:p>
          <w:p w14:paraId="2C0B12D4">
            <w:pPr>
              <w:widowControl/>
              <w:adjustRightInd w:val="0"/>
              <w:snapToGrid w:val="0"/>
              <w:spacing w:line="400" w:lineRule="exac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【必选】国家级、省级实践教学基地（包括实验教学示范中心、虚拟仿真实验中心</w:t>
            </w:r>
            <w:r>
              <w:rPr>
                <w:rFonts w:hint="default" w:ascii="Times New Roman" w:hAnsi="Times New Roman" w:eastAsia="仿宋" w:cs="Times New Roman"/>
                <w:color w:val="000000"/>
                <w:kern w:val="0"/>
                <w:sz w:val="28"/>
                <w:szCs w:val="28"/>
                <w:lang w:eastAsia="zh-CN"/>
              </w:rPr>
              <w:t>、虚拟仿真实验教学项目</w:t>
            </w:r>
            <w:r>
              <w:rPr>
                <w:rFonts w:hint="default" w:ascii="Times New Roman" w:hAnsi="Times New Roman" w:eastAsia="仿宋" w:cs="Times New Roman"/>
                <w:color w:val="000000"/>
                <w:kern w:val="0"/>
                <w:sz w:val="28"/>
                <w:szCs w:val="28"/>
              </w:rPr>
              <w:t>、临床教学培训示范中心、工程实践基地、农科教合作人才培养基地</w:t>
            </w:r>
            <w:r>
              <w:rPr>
                <w:rFonts w:hint="default" w:ascii="Times New Roman" w:hAnsi="Times New Roman" w:eastAsia="仿宋" w:cs="Times New Roman"/>
                <w:color w:val="000000"/>
                <w:kern w:val="0"/>
                <w:sz w:val="28"/>
                <w:szCs w:val="28"/>
                <w:lang w:eastAsia="zh-CN"/>
              </w:rPr>
              <w:t>、校外大学生实践教育基地</w:t>
            </w:r>
            <w:r>
              <w:rPr>
                <w:rFonts w:hint="default" w:ascii="Times New Roman" w:hAnsi="Times New Roman" w:eastAsia="仿宋" w:cs="Times New Roman"/>
                <w:color w:val="000000"/>
                <w:kern w:val="0"/>
                <w:sz w:val="28"/>
                <w:szCs w:val="28"/>
              </w:rPr>
              <w:t>等）数</w:t>
            </w:r>
          </w:p>
        </w:tc>
      </w:tr>
      <w:tr w14:paraId="2EBE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49508E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D024386">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083A6B13">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B2.3.2</w:t>
            </w:r>
          </w:p>
        </w:tc>
        <w:tc>
          <w:tcPr>
            <w:tcBorders>
              <w:top w:val="single" w:color="auto" w:sz="4" w:space="0"/>
              <w:left w:val="single" w:color="auto" w:sz="4" w:space="0"/>
              <w:bottom w:val="single" w:color="auto" w:sz="4" w:space="0"/>
              <w:right w:val="single" w:color="auto" w:sz="4" w:space="0"/>
            </w:tcBorders>
          </w:tcPr>
          <w:p w14:paraId="3E615EFD">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B1学校与科研院所、企业共建科研实践、实习实训基地情况</w:t>
            </w:r>
          </w:p>
          <w:p w14:paraId="0EC249E2">
            <w:pPr>
              <w:widowControl/>
              <w:adjustRightInd w:val="0"/>
              <w:snapToGrid w:val="0"/>
              <w:spacing w:line="400" w:lineRule="exact"/>
              <w:rPr>
                <w:rFonts w:ascii="Times New Roman" w:hAnsi="Times New Roman" w:eastAsia="仿宋" w:cs="Times New Roman"/>
                <w:color w:val="FF0000"/>
                <w:kern w:val="0"/>
                <w:sz w:val="28"/>
                <w:szCs w:val="28"/>
                <w:lang w:eastAsia="zh-TW"/>
              </w:rPr>
            </w:pPr>
            <w:r>
              <w:rPr>
                <w:rFonts w:hint="default" w:ascii="Times New Roman" w:hAnsi="Times New Roman" w:eastAsia="仿宋" w:cs="Times New Roman"/>
                <w:kern w:val="0"/>
                <w:sz w:val="28"/>
                <w:szCs w:val="28"/>
                <w:lang w:eastAsia="zh-TW"/>
              </w:rPr>
              <w:t>【可选】与行业企业共建的实验教学中心数</w:t>
            </w:r>
          </w:p>
        </w:tc>
      </w:tr>
      <w:tr w14:paraId="43C1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0B0A1C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170C6D6">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070D61B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063B7E2E">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B2学校与企业、行业单位共建实习实训基地情况</w:t>
            </w:r>
          </w:p>
          <w:p w14:paraId="4386BE2C">
            <w:pPr>
              <w:widowControl/>
              <w:adjustRightInd w:val="0"/>
              <w:snapToGrid w:val="0"/>
              <w:spacing w:line="400" w:lineRule="exact"/>
              <w:rPr>
                <w:rFonts w:ascii="Times New Roman" w:hAnsi="Times New Roman" w:eastAsia="仿宋" w:cs="Times New Roman"/>
                <w:color w:val="FF0000"/>
                <w:kern w:val="0"/>
                <w:sz w:val="28"/>
                <w:szCs w:val="28"/>
              </w:rPr>
            </w:pPr>
            <w:r>
              <w:rPr>
                <w:rFonts w:hint="default" w:ascii="Times New Roman" w:hAnsi="Times New Roman" w:eastAsia="仿宋" w:cs="Times New Roman"/>
                <w:kern w:val="0"/>
                <w:sz w:val="28"/>
                <w:szCs w:val="28"/>
                <w:lang w:eastAsia="zh-TW"/>
              </w:rPr>
              <w:t>【可选】与行业企业共建的实验教学中心数</w:t>
            </w:r>
          </w:p>
        </w:tc>
      </w:tr>
      <w:tr w14:paraId="48FA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5A37A2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7669A9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452B57AF">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B2.3.3</w:t>
            </w:r>
          </w:p>
        </w:tc>
        <w:tc>
          <w:tcPr>
            <w:tcBorders>
              <w:top w:val="single" w:color="auto" w:sz="4" w:space="0"/>
              <w:left w:val="single" w:color="auto" w:sz="4" w:space="0"/>
              <w:bottom w:val="single" w:color="auto" w:sz="4" w:space="0"/>
              <w:right w:val="single" w:color="auto" w:sz="4" w:space="0"/>
            </w:tcBorders>
          </w:tcPr>
          <w:p w14:paraId="1C8BF23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B1毕业论文（设计）选题来自教师专业实践、科研课题情况及完成质量</w:t>
            </w:r>
          </w:p>
          <w:p w14:paraId="720BE1C2">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【必选】以实验、实习、工程实践和社会调查等实践性工作为基础的毕业论文（</w:t>
            </w:r>
            <w:r>
              <w:rPr>
                <w:rFonts w:hint="default" w:ascii="Times New Roman" w:hAnsi="Times New Roman" w:eastAsia="仿宋" w:cs="Times New Roman"/>
                <w:sz w:val="28"/>
                <w:szCs w:val="28"/>
              </w:rPr>
              <w:t>设计</w:t>
            </w:r>
            <w:r>
              <w:rPr>
                <w:rFonts w:hint="default" w:ascii="Times New Roman" w:hAnsi="Times New Roman" w:eastAsia="仿宋" w:cs="Times New Roman"/>
                <w:color w:val="000000"/>
                <w:kern w:val="0"/>
                <w:sz w:val="28"/>
                <w:szCs w:val="28"/>
              </w:rPr>
              <w:t>）比例≥50%</w:t>
            </w:r>
          </w:p>
        </w:tc>
      </w:tr>
      <w:tr w14:paraId="0FC4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5609A9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E42727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78BFA3C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4005150E">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B2毕业论文（设计）选题来自行业企业一线需要、实行校企“双导师”制情况及完成质量</w:t>
            </w:r>
          </w:p>
          <w:p w14:paraId="3DCBB91F">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【必选】以实验、实习、工程实践和社会调查等实践性工作为基础的毕业论文（</w:t>
            </w:r>
            <w:r>
              <w:rPr>
                <w:rFonts w:hint="default" w:ascii="Times New Roman" w:hAnsi="Times New Roman" w:eastAsia="仿宋" w:cs="Times New Roman"/>
                <w:sz w:val="28"/>
                <w:szCs w:val="28"/>
              </w:rPr>
              <w:t>设计</w:t>
            </w:r>
            <w:r>
              <w:rPr>
                <w:rFonts w:hint="default" w:ascii="Times New Roman" w:hAnsi="Times New Roman" w:eastAsia="仿宋" w:cs="Times New Roman"/>
                <w:color w:val="000000"/>
                <w:kern w:val="0"/>
                <w:sz w:val="28"/>
                <w:szCs w:val="28"/>
              </w:rPr>
              <w:t>）比例≥50%</w:t>
            </w:r>
          </w:p>
        </w:tc>
      </w:tr>
      <w:tr w14:paraId="52E8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2E9F66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52BFD3A">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2.4课堂教学</w:t>
            </w:r>
          </w:p>
        </w:tc>
        <w:tc>
          <w:tcPr>
            <w:gridSpan w:val="2"/>
            <w:tcBorders>
              <w:top w:val="single" w:color="auto" w:sz="4" w:space="0"/>
              <w:left w:val="single" w:color="auto" w:sz="4" w:space="0"/>
              <w:bottom w:val="single" w:color="auto" w:sz="4" w:space="0"/>
              <w:right w:val="single" w:color="auto" w:sz="4" w:space="0"/>
            </w:tcBorders>
          </w:tcPr>
          <w:p w14:paraId="6DFE8F83">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2.4.1实施“以学为中心、以教为主导”的课堂教学，开展以学生学习成果为导向的教学评价情况</w:t>
            </w:r>
          </w:p>
        </w:tc>
      </w:tr>
      <w:tr w14:paraId="7BAA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C734CE2">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E0CEF54">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1D79443A">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2.4.2推进信息技术与教学过程融合、加强信息化教学环境与资源建设情况</w:t>
            </w:r>
          </w:p>
        </w:tc>
      </w:tr>
      <w:tr w14:paraId="7065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D9A7DB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815C6BE">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50CB3E87">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2.4.3建立健全教材管理机构和工作制度情况，依照教材审核选用标准和程序选用教材情况；推进马工程重点教材统一使用情况；</w:t>
            </w:r>
            <w:r>
              <w:rPr>
                <w:rFonts w:hint="default" w:ascii="Times New Roman" w:hAnsi="Times New Roman" w:eastAsia="仿宋" w:cs="Times New Roman"/>
                <w:kern w:val="0"/>
                <w:sz w:val="28"/>
                <w:szCs w:val="28"/>
              </w:rPr>
              <w:t>对教材选用工作出现负面问题的处理情况</w:t>
            </w:r>
          </w:p>
          <w:p w14:paraId="70DE262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【必选】使用马工程重点教材课程数量与学校应使用马工程重点教材课程数量的比例</w:t>
            </w:r>
          </w:p>
          <w:p w14:paraId="7BBCE6B7">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kern w:val="0"/>
                <w:sz w:val="28"/>
                <w:szCs w:val="28"/>
              </w:rPr>
              <w:t>【可选】</w:t>
            </w:r>
            <w:r>
              <w:rPr>
                <w:rFonts w:hint="default" w:ascii="Times New Roman" w:hAnsi="Times New Roman" w:eastAsia="仿宋" w:cs="Times New Roman"/>
                <w:color w:val="000000"/>
                <w:kern w:val="0"/>
                <w:sz w:val="28"/>
                <w:szCs w:val="28"/>
              </w:rPr>
              <w:t>近五年公开出版的教材数</w:t>
            </w:r>
          </w:p>
        </w:tc>
      </w:tr>
      <w:tr w14:paraId="32A3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B9DDB7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right w:val="single" w:color="auto" w:sz="4" w:space="0"/>
            </w:tcBorders>
            <w:vAlign w:val="center"/>
          </w:tcPr>
          <w:p w14:paraId="241000EC">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K2.5卓越</w:t>
            </w:r>
          </w:p>
          <w:p w14:paraId="7FACF47B">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培养</w:t>
            </w:r>
          </w:p>
        </w:tc>
        <w:tc>
          <w:tcPr>
            <w:vMerge w:val="restart"/>
            <w:tcBorders>
              <w:top w:val="single" w:color="auto" w:sz="4" w:space="0"/>
              <w:left w:val="single" w:color="auto" w:sz="4" w:space="0"/>
              <w:bottom w:val="single" w:color="auto" w:sz="4" w:space="0"/>
              <w:right w:val="single" w:color="auto" w:sz="4" w:space="0"/>
            </w:tcBorders>
            <w:vAlign w:val="center"/>
          </w:tcPr>
          <w:p w14:paraId="639351F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K2.5.1</w:t>
            </w:r>
          </w:p>
        </w:tc>
        <w:tc>
          <w:tcPr>
            <w:tcBorders>
              <w:top w:val="single" w:color="auto" w:sz="4" w:space="0"/>
              <w:left w:val="single" w:color="auto" w:sz="4" w:space="0"/>
              <w:bottom w:val="single" w:color="auto" w:sz="4" w:space="0"/>
              <w:right w:val="single" w:color="auto" w:sz="4" w:space="0"/>
            </w:tcBorders>
            <w:vAlign w:val="center"/>
          </w:tcPr>
          <w:p w14:paraId="399422A4">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K1科教协同拔尖人才培养模式改革及其实践效果</w:t>
            </w:r>
          </w:p>
          <w:p w14:paraId="367348B0">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【可选】基础学科拔尖学生培养计划学生数</w:t>
            </w:r>
          </w:p>
        </w:tc>
      </w:tr>
      <w:tr w14:paraId="42F1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1D3A81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4787A84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3728229E">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39C28CE9">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K2产教融合卓越人才培养模式改革及其实践效果</w:t>
            </w:r>
          </w:p>
          <w:p w14:paraId="0FFE1928">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8"/>
                <w:szCs w:val="28"/>
                <w:highlight w:val="yellow"/>
              </w:rPr>
              <w:t>【</w:t>
            </w:r>
            <w:r>
              <w:rPr>
                <w:rFonts w:hint="default" w:ascii="Times New Roman" w:hAnsi="Times New Roman" w:eastAsia="仿宋" w:cs="Times New Roman"/>
                <w:color w:val="FF0000"/>
                <w:kern w:val="0"/>
                <w:sz w:val="28"/>
                <w:szCs w:val="28"/>
                <w:highlight w:val="yellow"/>
                <w:lang w:eastAsia="zh-CN"/>
              </w:rPr>
              <w:t>必选</w:t>
            </w:r>
            <w:r>
              <w:rPr>
                <w:rFonts w:hint="default" w:ascii="Times New Roman" w:hAnsi="Times New Roman" w:eastAsia="仿宋" w:cs="Times New Roman"/>
                <w:color w:val="FF0000"/>
                <w:kern w:val="0"/>
                <w:sz w:val="28"/>
                <w:szCs w:val="28"/>
                <w:highlight w:val="yellow"/>
              </w:rPr>
              <w:t>】</w:t>
            </w:r>
            <w:r>
              <w:rPr>
                <w:rFonts w:hint="default" w:ascii="Times New Roman" w:hAnsi="Times New Roman" w:eastAsia="仿宋" w:cs="Times New Roman"/>
                <w:color w:val="FF0000"/>
                <w:kern w:val="0"/>
                <w:sz w:val="28"/>
                <w:szCs w:val="28"/>
                <w:highlight w:val="yellow"/>
                <w:lang w:eastAsia="zh-CN"/>
              </w:rPr>
              <w:t>现代产业学院建设成效，省级产教融合“五个一批”</w:t>
            </w:r>
            <w:r>
              <w:rPr>
                <w:rFonts w:hint="default" w:ascii="Times New Roman" w:hAnsi="Times New Roman" w:eastAsia="仿宋" w:cs="Times New Roman"/>
                <w:color w:val="FF0000"/>
                <w:kern w:val="0"/>
                <w:sz w:val="28"/>
                <w:szCs w:val="28"/>
                <w:highlight w:val="yellow"/>
              </w:rPr>
              <w:t>项目数</w:t>
            </w:r>
            <w:r>
              <w:rPr>
                <w:rFonts w:hint="default" w:ascii="Times New Roman" w:hAnsi="Times New Roman" w:eastAsia="仿宋" w:cs="Times New Roman"/>
                <w:color w:val="FF0000"/>
                <w:kern w:val="0"/>
                <w:sz w:val="28"/>
                <w:szCs w:val="28"/>
                <w:highlight w:val="yellow"/>
                <w:lang w:eastAsia="zh-CN"/>
              </w:rPr>
              <w:t>，教育部</w:t>
            </w:r>
            <w:r>
              <w:rPr>
                <w:rFonts w:hint="default" w:ascii="Times New Roman" w:hAnsi="Times New Roman" w:eastAsia="仿宋" w:cs="Times New Roman"/>
                <w:color w:val="auto"/>
                <w:kern w:val="0"/>
                <w:sz w:val="28"/>
                <w:szCs w:val="28"/>
                <w:highlight w:val="yellow"/>
                <w:lang w:eastAsia="zh-CN"/>
              </w:rPr>
              <w:t>产学合作协同育人项目数。</w:t>
            </w:r>
          </w:p>
        </w:tc>
      </w:tr>
      <w:tr w14:paraId="6707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0B449C2">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29318A6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67DB6BB">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K2.5.2加强课程体系整体设计，优化公共课、专业基础课和专业课比例结构，提高课程建设规划性、系统性情况</w:t>
            </w:r>
          </w:p>
          <w:p w14:paraId="2BA43747">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【必选】本科生生均课程门数</w:t>
            </w:r>
          </w:p>
          <w:p w14:paraId="088F163B">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【可选】与行业企业共建、共同讲授的课程数</w:t>
            </w:r>
          </w:p>
        </w:tc>
      </w:tr>
      <w:tr w14:paraId="24B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0867E2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3B4A24D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B81D0ED">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K2.5.3新工科、新农科、新医科、新文科建设以及围绕“培育高水平教学成果”开展教研教改项目建设的举措及实施成效</w:t>
            </w:r>
          </w:p>
        </w:tc>
      </w:tr>
      <w:tr w14:paraId="2F7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345C13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000FAF4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84EF08B">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K2.5.4一流专业“双万计划”建设举措及成效</w:t>
            </w:r>
          </w:p>
        </w:tc>
      </w:tr>
      <w:tr w14:paraId="1624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CE6257E">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1BBDF4E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55C9652">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K2.5.5一流课程“双万计划”建设举措及成效</w:t>
            </w:r>
          </w:p>
        </w:tc>
      </w:tr>
      <w:tr w14:paraId="6A82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D375F40">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1A8BA69A">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703215A3">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K2.5.6优秀教材建设举措及成效</w:t>
            </w:r>
          </w:p>
        </w:tc>
      </w:tr>
      <w:tr w14:paraId="38F6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15AB26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57CC9327">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2.6创新创业教育</w:t>
            </w:r>
          </w:p>
        </w:tc>
        <w:tc>
          <w:tcPr>
            <w:gridSpan w:val="2"/>
            <w:tcBorders>
              <w:top w:val="single" w:color="auto" w:sz="4" w:space="0"/>
              <w:left w:val="single" w:color="auto" w:sz="4" w:space="0"/>
              <w:bottom w:val="single" w:color="auto" w:sz="4" w:space="0"/>
              <w:right w:val="single" w:color="auto" w:sz="4" w:space="0"/>
            </w:tcBorders>
            <w:vAlign w:val="center"/>
          </w:tcPr>
          <w:p w14:paraId="102AAE76">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2.6.1创新创业教育工作体系与创新创业教育平台建设情况</w:t>
            </w:r>
          </w:p>
        </w:tc>
      </w:tr>
      <w:tr w14:paraId="196E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65EBD3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56B25C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C655F22">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2.6.2将创新创业教育贯穿于人才培养全过程、融入专业教育的举措与成效</w:t>
            </w:r>
          </w:p>
        </w:tc>
      </w:tr>
      <w:tr w14:paraId="1F58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0ECCD76">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4F2CBF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2930636">
            <w:pPr>
              <w:tabs>
                <w:tab w:val="left" w:pos="2257"/>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2.6.3学生参与创新创业教育积极性及创新创业教育成果</w:t>
            </w:r>
          </w:p>
          <w:p w14:paraId="5B02577B">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【必选】本科生参加各级各类创新创业实践活动人数及比例</w:t>
            </w:r>
          </w:p>
          <w:p w14:paraId="015EB110">
            <w:pPr>
              <w:widowControl/>
              <w:adjustRightInd w:val="0"/>
              <w:snapToGrid w:val="0"/>
              <w:spacing w:line="400" w:lineRule="exact"/>
              <w:rPr>
                <w:rFonts w:ascii="Times New Roman" w:hAnsi="Times New Roman" w:eastAsia="仿宋" w:cs="Times New Roman"/>
                <w:color w:val="auto"/>
                <w:kern w:val="0"/>
                <w:sz w:val="28"/>
                <w:szCs w:val="28"/>
                <w:highlight w:val="yellow"/>
              </w:rPr>
            </w:pPr>
            <w:r>
              <w:rPr>
                <w:rFonts w:hint="default" w:ascii="Times New Roman" w:hAnsi="Times New Roman" w:eastAsia="仿宋" w:cs="Times New Roman"/>
                <w:kern w:val="0"/>
                <w:sz w:val="28"/>
                <w:szCs w:val="28"/>
                <w:highlight w:val="yellow"/>
              </w:rPr>
              <w:t>【必选】</w:t>
            </w:r>
            <w:r>
              <w:rPr>
                <w:rFonts w:hint="default" w:ascii="Times New Roman" w:hAnsi="Times New Roman" w:eastAsia="仿宋" w:cs="Times New Roman"/>
                <w:bCs/>
                <w:color w:val="FF0000"/>
                <w:kern w:val="0"/>
                <w:sz w:val="28"/>
                <w:szCs w:val="28"/>
                <w:highlight w:val="yellow"/>
              </w:rPr>
              <w:t>省级及以上</w:t>
            </w:r>
            <w:r>
              <w:rPr>
                <w:rFonts w:hint="default" w:ascii="Times New Roman" w:hAnsi="Times New Roman" w:eastAsia="仿宋" w:cs="Times New Roman"/>
                <w:color w:val="auto"/>
                <w:kern w:val="0"/>
                <w:sz w:val="28"/>
                <w:szCs w:val="28"/>
                <w:highlight w:val="yellow"/>
              </w:rPr>
              <w:t>“互联网+”大学生创新创业大赛获奖数</w:t>
            </w:r>
          </w:p>
          <w:p w14:paraId="1AACA95F">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【可选】省级</w:t>
            </w:r>
            <w:r>
              <w:rPr>
                <w:rFonts w:hint="default" w:ascii="Times New Roman" w:hAnsi="Times New Roman" w:eastAsia="仿宋" w:cs="Times New Roman"/>
                <w:bCs/>
                <w:kern w:val="0"/>
                <w:sz w:val="28"/>
                <w:szCs w:val="28"/>
              </w:rPr>
              <w:t>及</w:t>
            </w:r>
            <w:r>
              <w:rPr>
                <w:rFonts w:hint="default" w:ascii="Times New Roman" w:hAnsi="Times New Roman" w:eastAsia="仿宋" w:cs="Times New Roman"/>
                <w:kern w:val="0"/>
                <w:sz w:val="28"/>
                <w:szCs w:val="28"/>
              </w:rPr>
              <w:t>以上学科竞赛获奖学生人次数占学生总数的比例</w:t>
            </w:r>
          </w:p>
        </w:tc>
      </w:tr>
      <w:tr w14:paraId="18AB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486B1667">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3.教学资源与利用</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79CCE674">
            <w:pPr>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X3.1设施</w:t>
            </w:r>
          </w:p>
          <w:p w14:paraId="5D9C06CE">
            <w:pPr>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条件</w:t>
            </w:r>
          </w:p>
        </w:tc>
        <w:tc>
          <w:tcPr>
            <w:gridSpan w:val="2"/>
            <w:tcBorders>
              <w:top w:val="single" w:color="auto" w:sz="4" w:space="0"/>
              <w:left w:val="single" w:color="auto" w:sz="4" w:space="0"/>
              <w:bottom w:val="single" w:color="auto" w:sz="4" w:space="0"/>
              <w:right w:val="single" w:color="auto" w:sz="4" w:space="0"/>
            </w:tcBorders>
            <w:vAlign w:val="center"/>
          </w:tcPr>
          <w:p w14:paraId="115C9F03">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X</w:t>
            </w:r>
            <w:r>
              <w:rPr>
                <w:rFonts w:hint="default" w:ascii="Times New Roman" w:hAnsi="Times New Roman" w:eastAsia="仿宋" w:cs="Times New Roman"/>
                <w:sz w:val="28"/>
                <w:szCs w:val="28"/>
              </w:rPr>
              <w:t>3.1.1</w:t>
            </w:r>
            <w:r>
              <w:rPr>
                <w:rFonts w:hint="default" w:ascii="Times New Roman" w:hAnsi="Times New Roman" w:eastAsia="仿宋" w:cs="Times New Roman"/>
                <w:color w:val="000000"/>
                <w:kern w:val="0"/>
                <w:sz w:val="28"/>
                <w:szCs w:val="28"/>
              </w:rPr>
              <w:t>教学经费、图书资料、校园网等满足教学要求情况</w:t>
            </w:r>
          </w:p>
        </w:tc>
      </w:tr>
      <w:tr w14:paraId="25E0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6A193BD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06463B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DC80CD9">
            <w:pPr>
              <w:tabs>
                <w:tab w:val="left" w:pos="900"/>
              </w:tabs>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X</w:t>
            </w:r>
            <w:r>
              <w:rPr>
                <w:rFonts w:hint="default" w:ascii="Times New Roman" w:hAnsi="Times New Roman" w:eastAsia="仿宋" w:cs="Times New Roman"/>
                <w:sz w:val="28"/>
                <w:szCs w:val="28"/>
              </w:rPr>
              <w:t>3.1.2</w:t>
            </w:r>
            <w:r>
              <w:rPr>
                <w:rFonts w:hint="default" w:ascii="Times New Roman" w:hAnsi="Times New Roman" w:eastAsia="仿宋" w:cs="Times New Roman"/>
                <w:color w:val="000000"/>
                <w:kern w:val="0"/>
                <w:sz w:val="28"/>
                <w:szCs w:val="28"/>
              </w:rPr>
              <w:t>校舍、运动场所、体育设施、艺术场馆、实验室、实习基地及其设施条件满足教学要求情况及利用率</w:t>
            </w:r>
          </w:p>
        </w:tc>
      </w:tr>
      <w:tr w14:paraId="24D3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098DA8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45E6F189">
            <w:pPr>
              <w:widowControl/>
              <w:adjustRightInd w:val="0"/>
              <w:snapToGrid w:val="0"/>
              <w:spacing w:line="400" w:lineRule="exact"/>
              <w:jc w:val="center"/>
              <w:rPr>
                <w:rFonts w:ascii="Times New Roman" w:hAnsi="Times New Roman" w:eastAsia="仿宋" w:cs="Times New Roman"/>
                <w:color w:val="FF0000"/>
                <w:kern w:val="0"/>
                <w:sz w:val="28"/>
                <w:szCs w:val="28"/>
              </w:rPr>
            </w:pPr>
            <w:r>
              <w:rPr>
                <w:rFonts w:hint="default" w:ascii="Times New Roman" w:hAnsi="Times New Roman" w:eastAsia="仿宋" w:cs="Times New Roman"/>
                <w:color w:val="000000"/>
                <w:kern w:val="0"/>
                <w:sz w:val="28"/>
                <w:szCs w:val="28"/>
              </w:rPr>
              <w:t>3.2资源建设</w:t>
            </w:r>
          </w:p>
        </w:tc>
        <w:tc>
          <w:tcPr>
            <w:vMerge w:val="restart"/>
            <w:tcBorders>
              <w:top w:val="single" w:color="auto" w:sz="4" w:space="0"/>
              <w:left w:val="single" w:color="auto" w:sz="4" w:space="0"/>
              <w:bottom w:val="single" w:color="auto" w:sz="4" w:space="0"/>
              <w:right w:val="single" w:color="auto" w:sz="4" w:space="0"/>
            </w:tcBorders>
            <w:vAlign w:val="center"/>
          </w:tcPr>
          <w:p w14:paraId="288129E4">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B3.2.1</w:t>
            </w:r>
          </w:p>
        </w:tc>
        <w:tc>
          <w:tcPr>
            <w:tcBorders>
              <w:top w:val="single" w:color="auto" w:sz="4" w:space="0"/>
              <w:left w:val="single" w:color="auto" w:sz="4" w:space="0"/>
              <w:bottom w:val="single" w:color="auto" w:sz="4" w:space="0"/>
              <w:right w:val="single" w:color="auto" w:sz="4" w:space="0"/>
            </w:tcBorders>
          </w:tcPr>
          <w:p w14:paraId="40FE6387">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B1优质教学资源建设及其共享情况</w:t>
            </w:r>
          </w:p>
        </w:tc>
      </w:tr>
      <w:tr w14:paraId="7E8D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D944C4D">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E16D542">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336FE7D7">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14FA1D78">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kern w:val="0"/>
                <w:sz w:val="28"/>
                <w:szCs w:val="28"/>
              </w:rPr>
              <w:t>B2行业企业课程资源库、真实项目案例库建设及共享情况</w:t>
            </w:r>
          </w:p>
        </w:tc>
      </w:tr>
      <w:tr w14:paraId="094C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FADECF7">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4652821">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7D4F2004">
            <w:pPr>
              <w:widowControl/>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B3.2.2</w:t>
            </w:r>
          </w:p>
        </w:tc>
        <w:tc>
          <w:tcPr>
            <w:tcBorders>
              <w:top w:val="single" w:color="auto" w:sz="4" w:space="0"/>
              <w:left w:val="single" w:color="auto" w:sz="4" w:space="0"/>
              <w:bottom w:val="single" w:color="auto" w:sz="4" w:space="0"/>
              <w:right w:val="single" w:color="auto" w:sz="4" w:space="0"/>
            </w:tcBorders>
          </w:tcPr>
          <w:p w14:paraId="7D69D7CF">
            <w:pPr>
              <w:tabs>
                <w:tab w:val="left" w:pos="2257"/>
              </w:tabs>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color w:val="000000"/>
                <w:kern w:val="0"/>
                <w:sz w:val="28"/>
                <w:szCs w:val="28"/>
              </w:rPr>
              <w:t>B1</w:t>
            </w:r>
            <w:r>
              <w:rPr>
                <w:rFonts w:hint="default" w:ascii="Times New Roman" w:hAnsi="Times New Roman" w:eastAsia="仿宋" w:cs="Times New Roman"/>
                <w:kern w:val="0"/>
                <w:sz w:val="28"/>
                <w:szCs w:val="28"/>
              </w:rPr>
              <w:t>面向国家、行业领域需求的</w:t>
            </w:r>
            <w:r>
              <w:rPr>
                <w:rFonts w:hint="default" w:ascii="Times New Roman" w:hAnsi="Times New Roman" w:eastAsia="仿宋" w:cs="Times New Roman"/>
                <w:bCs/>
                <w:kern w:val="0"/>
                <w:sz w:val="28"/>
                <w:szCs w:val="28"/>
              </w:rPr>
              <w:t>一流</w:t>
            </w:r>
            <w:r>
              <w:rPr>
                <w:rFonts w:hint="default" w:ascii="Times New Roman" w:hAnsi="Times New Roman" w:eastAsia="仿宋" w:cs="Times New Roman"/>
                <w:kern w:val="0"/>
                <w:sz w:val="28"/>
                <w:szCs w:val="28"/>
              </w:rPr>
              <w:t>教材建设举措与成效</w:t>
            </w:r>
          </w:p>
        </w:tc>
      </w:tr>
      <w:tr w14:paraId="7F4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B05E78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CA2DCAC">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6685A57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07A576BA">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B2面向行业企业实际、产业发展需要的</w:t>
            </w:r>
            <w:r>
              <w:rPr>
                <w:rFonts w:hint="default" w:ascii="Times New Roman" w:hAnsi="Times New Roman" w:eastAsia="仿宋" w:cs="Times New Roman"/>
                <w:bCs/>
                <w:kern w:val="0"/>
                <w:sz w:val="28"/>
                <w:szCs w:val="28"/>
              </w:rPr>
              <w:t>高质量</w:t>
            </w:r>
            <w:r>
              <w:rPr>
                <w:rFonts w:hint="default" w:ascii="Times New Roman" w:hAnsi="Times New Roman" w:eastAsia="仿宋" w:cs="Times New Roman"/>
                <w:kern w:val="0"/>
                <w:sz w:val="28"/>
                <w:szCs w:val="28"/>
              </w:rPr>
              <w:t>教材建设情况</w:t>
            </w:r>
          </w:p>
        </w:tc>
      </w:tr>
      <w:tr w14:paraId="5808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5BC44D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8AB0796">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0B332199">
            <w:pPr>
              <w:widowControl/>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K3.2.3</w:t>
            </w:r>
          </w:p>
        </w:tc>
        <w:tc>
          <w:tcPr>
            <w:tcBorders>
              <w:top w:val="single" w:color="auto" w:sz="4" w:space="0"/>
              <w:left w:val="single" w:color="auto" w:sz="4" w:space="0"/>
              <w:bottom w:val="single" w:color="auto" w:sz="4" w:space="0"/>
              <w:right w:val="single" w:color="auto" w:sz="4" w:space="0"/>
            </w:tcBorders>
          </w:tcPr>
          <w:p w14:paraId="67990D5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color w:val="000000"/>
                <w:kern w:val="0"/>
                <w:sz w:val="28"/>
                <w:szCs w:val="28"/>
              </w:rPr>
              <w:t>适应“互联网+”课程教学需要的智慧教室、智能实验室</w:t>
            </w:r>
            <w:r>
              <w:rPr>
                <w:rFonts w:hint="default" w:ascii="Times New Roman" w:hAnsi="Times New Roman" w:eastAsia="仿宋" w:cs="Times New Roman"/>
                <w:color w:val="000000"/>
                <w:kern w:val="0"/>
                <w:sz w:val="28"/>
                <w:szCs w:val="28"/>
                <w:lang w:eastAsia="zh-CN"/>
              </w:rPr>
              <w:t>、数字场景</w:t>
            </w:r>
            <w:r>
              <w:rPr>
                <w:rFonts w:hint="default" w:ascii="Times New Roman" w:hAnsi="Times New Roman" w:eastAsia="仿宋" w:cs="Times New Roman"/>
                <w:color w:val="000000"/>
                <w:kern w:val="0"/>
                <w:sz w:val="28"/>
                <w:szCs w:val="28"/>
              </w:rPr>
              <w:t>等教学设施和条件建设及使用效果</w:t>
            </w:r>
          </w:p>
        </w:tc>
      </w:tr>
      <w:tr w14:paraId="7833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CFB703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F655D5C">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1E8F701E">
            <w:pPr>
              <w:tabs>
                <w:tab w:val="left" w:pos="2257"/>
              </w:tabs>
              <w:adjustRightInd w:val="0"/>
              <w:snapToGrid w:val="0"/>
              <w:spacing w:line="400" w:lineRule="exact"/>
              <w:jc w:val="lef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K3.2.4</w:t>
            </w:r>
          </w:p>
        </w:tc>
        <w:tc>
          <w:tcPr>
            <w:tcBorders>
              <w:top w:val="single" w:color="auto" w:sz="4" w:space="0"/>
              <w:left w:val="single" w:color="auto" w:sz="4" w:space="0"/>
              <w:bottom w:val="single" w:color="auto" w:sz="4" w:space="0"/>
              <w:right w:val="single" w:color="auto" w:sz="4" w:space="0"/>
            </w:tcBorders>
          </w:tcPr>
          <w:p w14:paraId="7C2C7335">
            <w:pPr>
              <w:widowControl/>
              <w:adjustRightInd w:val="0"/>
              <w:snapToGrid w:val="0"/>
              <w:spacing w:line="400" w:lineRule="exact"/>
              <w:rPr>
                <w:rFonts w:ascii="Times New Roman" w:hAnsi="Times New Roman" w:eastAsia="仿宋" w:cs="Times New Roman"/>
                <w:b/>
                <w:bCs/>
                <w:color w:val="FF0000"/>
                <w:kern w:val="0"/>
                <w:sz w:val="28"/>
                <w:szCs w:val="28"/>
              </w:rPr>
            </w:pPr>
            <w:r>
              <w:rPr>
                <w:rFonts w:hint="default" w:ascii="Times New Roman" w:hAnsi="Times New Roman" w:eastAsia="仿宋" w:cs="Times New Roman"/>
                <w:color w:val="000000"/>
                <w:kern w:val="0"/>
                <w:sz w:val="28"/>
                <w:szCs w:val="28"/>
              </w:rPr>
              <w:t>K1学科资源、科研成果转化为教学资源情况</w:t>
            </w:r>
          </w:p>
        </w:tc>
      </w:tr>
      <w:tr w14:paraId="7AC1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C4229C8">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0610F89">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6738BBC7">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Borders>
              <w:top w:val="single" w:color="auto" w:sz="4" w:space="0"/>
              <w:left w:val="single" w:color="auto" w:sz="4" w:space="0"/>
              <w:bottom w:val="single" w:color="auto" w:sz="4" w:space="0"/>
              <w:right w:val="single" w:color="auto" w:sz="4" w:space="0"/>
            </w:tcBorders>
          </w:tcPr>
          <w:p w14:paraId="7EBD25E5">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kern w:val="0"/>
                <w:sz w:val="28"/>
                <w:szCs w:val="28"/>
              </w:rPr>
              <w:t>K2产业技术发展成果、产学研合作项目转化为教学资源情况</w:t>
            </w:r>
          </w:p>
        </w:tc>
      </w:tr>
      <w:tr w14:paraId="2142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0722D2BB">
            <w:pPr>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4.教师队伍</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5D95229">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4.1师德师风</w:t>
            </w:r>
          </w:p>
        </w:tc>
        <w:tc>
          <w:tcPr>
            <w:gridSpan w:val="2"/>
            <w:tcBorders>
              <w:top w:val="single" w:color="auto" w:sz="4" w:space="0"/>
              <w:left w:val="single" w:color="auto" w:sz="4" w:space="0"/>
              <w:bottom w:val="single" w:color="auto" w:sz="4" w:space="0"/>
              <w:right w:val="single" w:color="auto" w:sz="4" w:space="0"/>
            </w:tcBorders>
            <w:vAlign w:val="center"/>
          </w:tcPr>
          <w:p w14:paraId="4DA9E45F">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4.1.1</w:t>
            </w:r>
            <w:r>
              <w:rPr>
                <w:rFonts w:hint="default" w:ascii="Times New Roman" w:hAnsi="Times New Roman" w:eastAsia="仿宋" w:cs="Times New Roman"/>
                <w:color w:val="000000"/>
                <w:kern w:val="0"/>
                <w:sz w:val="28"/>
                <w:szCs w:val="28"/>
              </w:rPr>
              <w:t>保障把教师思想政治建设放在首位、把师德师风作为评价教师的第一标准，强化师德教育、加强师德宣传、严格考核管理、加强制度建设，</w:t>
            </w:r>
            <w:r>
              <w:rPr>
                <w:rFonts w:hint="default" w:ascii="Times New Roman" w:hAnsi="Times New Roman" w:eastAsia="仿宋" w:cs="Times New Roman"/>
                <w:kern w:val="0"/>
                <w:sz w:val="28"/>
                <w:szCs w:val="28"/>
              </w:rPr>
              <w:t>落实师德考核贯穿于教育教学全过程等方面</w:t>
            </w:r>
            <w:r>
              <w:rPr>
                <w:rFonts w:hint="default" w:ascii="Times New Roman" w:hAnsi="Times New Roman" w:eastAsia="仿宋" w:cs="Times New Roman"/>
                <w:color w:val="000000"/>
                <w:kern w:val="0"/>
                <w:sz w:val="28"/>
                <w:szCs w:val="28"/>
              </w:rPr>
              <w:t>的情况</w:t>
            </w:r>
          </w:p>
        </w:tc>
      </w:tr>
      <w:tr w14:paraId="1B35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679AB123">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3F97F01">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F3E3241">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4.1.2</w:t>
            </w:r>
            <w:r>
              <w:rPr>
                <w:rFonts w:hint="default" w:ascii="Times New Roman" w:hAnsi="Times New Roman" w:eastAsia="仿宋" w:cs="Times New Roman"/>
                <w:color w:val="000000"/>
                <w:kern w:val="0"/>
                <w:sz w:val="28"/>
                <w:szCs w:val="28"/>
              </w:rPr>
              <w:t>教师在争做“四有”好老师、四个“引路人”，自觉遵守《新时代高校教师职业行为十项准则》等方面的情况</w:t>
            </w:r>
          </w:p>
        </w:tc>
      </w:tr>
      <w:tr w14:paraId="6F0E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85920E1">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8B6BAF8">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4.2教学能力</w:t>
            </w:r>
          </w:p>
        </w:tc>
        <w:tc>
          <w:tcPr>
            <w:vMerge w:val="restart"/>
            <w:tcBorders>
              <w:top w:val="single" w:color="auto" w:sz="4" w:space="0"/>
              <w:left w:val="single" w:color="auto" w:sz="4" w:space="0"/>
              <w:bottom w:val="single" w:color="auto" w:sz="4" w:space="0"/>
              <w:right w:val="single" w:color="auto" w:sz="4" w:space="0"/>
            </w:tcBorders>
            <w:vAlign w:val="center"/>
          </w:tcPr>
          <w:p w14:paraId="4AD37490">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B4.2.1</w:t>
            </w:r>
          </w:p>
        </w:tc>
        <w:tc>
          <w:tcPr>
            <w:tcBorders>
              <w:top w:val="single" w:color="auto" w:sz="4" w:space="0"/>
              <w:left w:val="single" w:color="auto" w:sz="4" w:space="0"/>
              <w:bottom w:val="single" w:color="auto" w:sz="4" w:space="0"/>
              <w:right w:val="single" w:color="auto" w:sz="4" w:space="0"/>
            </w:tcBorders>
          </w:tcPr>
          <w:p w14:paraId="5A3BA57F">
            <w:pPr>
              <w:adjustRightInd w:val="0"/>
              <w:snapToGrid w:val="0"/>
              <w:spacing w:line="400" w:lineRule="exact"/>
              <w:rPr>
                <w:rFonts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B1专任教师的专业水平、教学能力、科研水平和能力</w:t>
            </w:r>
          </w:p>
          <w:p w14:paraId="3B5BE53F">
            <w:pPr>
              <w:adjustRightInd w:val="0"/>
              <w:snapToGrid w:val="0"/>
              <w:spacing w:line="400" w:lineRule="exact"/>
              <w:rPr>
                <w:rFonts w:ascii="Times New Roman" w:hAnsi="Times New Roman" w:eastAsia="仿宋" w:cs="Times New Roman"/>
                <w:color w:val="auto"/>
                <w:kern w:val="0"/>
                <w:sz w:val="28"/>
                <w:szCs w:val="28"/>
              </w:rPr>
            </w:pPr>
            <w:r>
              <w:rPr>
                <w:rFonts w:hint="default" w:ascii="Times New Roman" w:hAnsi="Times New Roman" w:eastAsia="仿宋" w:cs="Times New Roman"/>
                <w:color w:val="FF0000"/>
                <w:kern w:val="0"/>
                <w:sz w:val="28"/>
                <w:szCs w:val="28"/>
                <w:highlight w:val="yellow"/>
              </w:rPr>
              <w:t>【</w:t>
            </w:r>
            <w:r>
              <w:rPr>
                <w:rFonts w:hint="default" w:ascii="Times New Roman" w:hAnsi="Times New Roman" w:eastAsia="仿宋" w:cs="Times New Roman"/>
                <w:color w:val="FF0000"/>
                <w:kern w:val="0"/>
                <w:sz w:val="28"/>
                <w:szCs w:val="28"/>
                <w:highlight w:val="yellow"/>
                <w:lang w:eastAsia="zh-CN"/>
              </w:rPr>
              <w:t>必</w:t>
            </w:r>
            <w:r>
              <w:rPr>
                <w:rFonts w:hint="default" w:ascii="Times New Roman" w:hAnsi="Times New Roman" w:eastAsia="仿宋" w:cs="Times New Roman"/>
                <w:color w:val="FF0000"/>
                <w:kern w:val="0"/>
                <w:sz w:val="28"/>
                <w:szCs w:val="28"/>
                <w:highlight w:val="yellow"/>
              </w:rPr>
              <w:t>选】省级及以上教学竞赛获奖情况</w:t>
            </w:r>
          </w:p>
        </w:tc>
      </w:tr>
      <w:tr w14:paraId="3324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2AF88C0">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5BE6293">
            <w:pPr>
              <w:widowControl/>
              <w:adjustRightInd w:val="0"/>
              <w:snapToGrid w:val="0"/>
              <w:spacing w:line="400" w:lineRule="exact"/>
              <w:jc w:val="left"/>
              <w:rPr>
                <w:rFonts w:ascii="Times New Roman" w:hAnsi="Times New Roman" w:eastAsia="仿宋" w:cs="Times New Roman"/>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1BFC8087">
            <w:pPr>
              <w:widowControl/>
              <w:adjustRightInd w:val="0"/>
              <w:snapToGrid w:val="0"/>
              <w:spacing w:line="400" w:lineRule="exact"/>
              <w:jc w:val="left"/>
              <w:rPr>
                <w:rFonts w:ascii="Times New Roman" w:hAnsi="Times New Roman" w:eastAsia="仿宋" w:cs="Times New Roman"/>
                <w:kern w:val="0"/>
                <w:sz w:val="28"/>
                <w:szCs w:val="28"/>
              </w:rPr>
            </w:pPr>
          </w:p>
        </w:tc>
        <w:tc>
          <w:tcPr>
            <w:tcBorders>
              <w:top w:val="single" w:color="auto" w:sz="4" w:space="0"/>
              <w:left w:val="single" w:color="auto" w:sz="4" w:space="0"/>
              <w:bottom w:val="single" w:color="auto" w:sz="4" w:space="0"/>
              <w:right w:val="single" w:color="auto" w:sz="4" w:space="0"/>
            </w:tcBorders>
          </w:tcPr>
          <w:p w14:paraId="33F78E7A">
            <w:pPr>
              <w:adjustRightInd w:val="0"/>
              <w:snapToGrid w:val="0"/>
              <w:spacing w:line="400" w:lineRule="exact"/>
              <w:rPr>
                <w:rFonts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B2专任教师的专业水平、教学能力、产学研用能力</w:t>
            </w:r>
          </w:p>
          <w:p w14:paraId="62AC3FFD">
            <w:pPr>
              <w:adjustRightInd w:val="0"/>
              <w:snapToGrid w:val="0"/>
              <w:spacing w:line="400" w:lineRule="exact"/>
              <w:rPr>
                <w:rFonts w:ascii="Times New Roman" w:hAnsi="Times New Roman" w:eastAsia="仿宋" w:cs="Times New Roman"/>
                <w:color w:val="auto"/>
                <w:kern w:val="0"/>
                <w:sz w:val="28"/>
                <w:szCs w:val="28"/>
              </w:rPr>
            </w:pPr>
            <w:r>
              <w:rPr>
                <w:rFonts w:hint="default" w:ascii="Times New Roman" w:hAnsi="Times New Roman" w:eastAsia="仿宋" w:cs="Times New Roman"/>
                <w:color w:val="FF0000"/>
                <w:kern w:val="0"/>
                <w:sz w:val="28"/>
                <w:szCs w:val="28"/>
                <w:highlight w:val="yellow"/>
              </w:rPr>
              <w:t>【</w:t>
            </w:r>
            <w:r>
              <w:rPr>
                <w:rFonts w:hint="default" w:ascii="Times New Roman" w:hAnsi="Times New Roman" w:eastAsia="仿宋" w:cs="Times New Roman"/>
                <w:color w:val="FF0000"/>
                <w:kern w:val="0"/>
                <w:sz w:val="28"/>
                <w:szCs w:val="28"/>
                <w:highlight w:val="yellow"/>
                <w:lang w:eastAsia="zh-CN"/>
              </w:rPr>
              <w:t>必</w:t>
            </w:r>
            <w:r>
              <w:rPr>
                <w:rFonts w:hint="default" w:ascii="Times New Roman" w:hAnsi="Times New Roman" w:eastAsia="仿宋" w:cs="Times New Roman"/>
                <w:color w:val="FF0000"/>
                <w:kern w:val="0"/>
                <w:sz w:val="28"/>
                <w:szCs w:val="28"/>
                <w:highlight w:val="yellow"/>
              </w:rPr>
              <w:t>选】省级及以上教学竞赛获奖情况</w:t>
            </w:r>
          </w:p>
        </w:tc>
      </w:tr>
      <w:tr w14:paraId="1DE1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AA3F315">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68DBD97">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1E91C678">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4.2.2提升教师教书育人能力和水平的措施</w:t>
            </w:r>
          </w:p>
        </w:tc>
      </w:tr>
      <w:tr w14:paraId="6CF5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8A74E69">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7B541EC2">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4.3教学投入</w:t>
            </w:r>
          </w:p>
        </w:tc>
        <w:tc>
          <w:tcPr>
            <w:gridSpan w:val="2"/>
            <w:tcBorders>
              <w:top w:val="single" w:color="auto" w:sz="4" w:space="0"/>
              <w:left w:val="single" w:color="auto" w:sz="4" w:space="0"/>
              <w:bottom w:val="single" w:color="auto" w:sz="4" w:space="0"/>
              <w:right w:val="single" w:color="auto" w:sz="4" w:space="0"/>
            </w:tcBorders>
          </w:tcPr>
          <w:p w14:paraId="1FED78D3">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4.3.1教师投入教学、教授全员为本科生授课的激励与约束机制建立情况及实施效果</w:t>
            </w:r>
          </w:p>
          <w:p w14:paraId="7622046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【必选】主讲本科课程教授占教授总数的比例</w:t>
            </w:r>
          </w:p>
          <w:p w14:paraId="0FECE665">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【必选】教授主讲本科课程人均学时数</w:t>
            </w:r>
          </w:p>
        </w:tc>
      </w:tr>
      <w:tr w14:paraId="0212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00D9602">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FD9C910">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175F7AA8">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4.3.2教师特别是教授和副教授开展教学研究、参与教学改革与建设情况及成效</w:t>
            </w:r>
          </w:p>
          <w:p w14:paraId="51C46612">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【必选】教授、副教授担任专业负责人的专业占专业总数的比例</w:t>
            </w:r>
          </w:p>
        </w:tc>
      </w:tr>
      <w:tr w14:paraId="229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2EDE172">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098AB615">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4.4教师发展</w:t>
            </w:r>
          </w:p>
        </w:tc>
        <w:tc>
          <w:tcPr>
            <w:gridSpan w:val="2"/>
            <w:tcBorders>
              <w:top w:val="single" w:color="auto" w:sz="4" w:space="0"/>
              <w:left w:val="single" w:color="auto" w:sz="4" w:space="0"/>
              <w:bottom w:val="single" w:color="auto" w:sz="4" w:space="0"/>
              <w:right w:val="single" w:color="auto" w:sz="4" w:space="0"/>
            </w:tcBorders>
          </w:tcPr>
          <w:p w14:paraId="564ACE95">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4.4.1重视教师培训与职业发展，把习近平总书记关于教育的重要论述作为核心培训课程，把《习近平总书记教育重要论述讲义》作为核心培训教材，加强思政与党务工作队伍建设的举措与成效</w:t>
            </w:r>
          </w:p>
        </w:tc>
      </w:tr>
      <w:tr w14:paraId="2E8B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8CB0ACA">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768EAD3">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0721288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4.4.2加强教师教学发展中心、基层教学组织和青年教师队伍建设举措与成效</w:t>
            </w:r>
          </w:p>
          <w:p w14:paraId="6DE2B21F">
            <w:pPr>
              <w:widowControl/>
              <w:adjustRightInd w:val="0"/>
              <w:snapToGrid w:val="0"/>
              <w:spacing w:line="400" w:lineRule="exact"/>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【必选】设有基层教学组织的专业占专业总数的比例</w:t>
            </w:r>
          </w:p>
          <w:p w14:paraId="174D54FE">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【可选】教师</w:t>
            </w:r>
            <w:r>
              <w:rPr>
                <w:rFonts w:hint="default" w:ascii="Times New Roman" w:hAnsi="Times New Roman" w:eastAsia="仿宋" w:cs="Times New Roman"/>
                <w:kern w:val="0"/>
                <w:sz w:val="28"/>
                <w:szCs w:val="28"/>
                <w:lang w:eastAsia="zh-CN"/>
              </w:rPr>
              <w:t>教学</w:t>
            </w:r>
            <w:r>
              <w:rPr>
                <w:rFonts w:hint="default" w:ascii="Times New Roman" w:hAnsi="Times New Roman" w:eastAsia="仿宋" w:cs="Times New Roman"/>
                <w:kern w:val="0"/>
                <w:sz w:val="28"/>
                <w:szCs w:val="28"/>
              </w:rPr>
              <w:t>发展中心培训本校教师的比例</w:t>
            </w:r>
          </w:p>
        </w:tc>
      </w:tr>
      <w:tr w14:paraId="02F7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89523DE">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4512660">
            <w:pPr>
              <w:widowControl/>
              <w:adjustRightInd w:val="0"/>
              <w:snapToGrid w:val="0"/>
              <w:spacing w:line="400" w:lineRule="exact"/>
              <w:jc w:val="left"/>
              <w:rPr>
                <w:rFonts w:ascii="Times New Roman" w:hAnsi="Times New Roman" w:eastAsia="仿宋" w:cs="Times New Roman"/>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6A87BC72">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B4.4.3</w:t>
            </w:r>
          </w:p>
        </w:tc>
        <w:tc>
          <w:tcPr>
            <w:tcBorders>
              <w:top w:val="single" w:color="auto" w:sz="4" w:space="0"/>
              <w:left w:val="single" w:color="auto" w:sz="4" w:space="0"/>
              <w:bottom w:val="single" w:color="auto" w:sz="4" w:space="0"/>
              <w:right w:val="single" w:color="auto" w:sz="4" w:space="0"/>
            </w:tcBorders>
          </w:tcPr>
          <w:p w14:paraId="49083F40">
            <w:pPr>
              <w:adjustRightInd w:val="0"/>
              <w:snapToGrid w:val="0"/>
              <w:spacing w:line="400" w:lineRule="exac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B1提升教师教学能力、实践能力、科研能力、信息技术应用能力的政策措施</w:t>
            </w:r>
          </w:p>
        </w:tc>
      </w:tr>
      <w:tr w14:paraId="6A00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F824FFD">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0108460">
            <w:pPr>
              <w:widowControl/>
              <w:adjustRightInd w:val="0"/>
              <w:snapToGrid w:val="0"/>
              <w:spacing w:line="400" w:lineRule="exact"/>
              <w:jc w:val="left"/>
              <w:rPr>
                <w:rFonts w:ascii="Times New Roman" w:hAnsi="Times New Roman" w:eastAsia="仿宋" w:cs="Times New Roman"/>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6D84C27E">
            <w:pPr>
              <w:widowControl/>
              <w:adjustRightInd w:val="0"/>
              <w:snapToGrid w:val="0"/>
              <w:spacing w:line="400" w:lineRule="exact"/>
              <w:jc w:val="left"/>
              <w:rPr>
                <w:rFonts w:ascii="Times New Roman" w:hAnsi="Times New Roman" w:eastAsia="仿宋" w:cs="Times New Roman"/>
                <w:kern w:val="0"/>
                <w:sz w:val="28"/>
                <w:szCs w:val="28"/>
              </w:rPr>
            </w:pPr>
          </w:p>
        </w:tc>
        <w:tc>
          <w:tcPr>
            <w:tcBorders>
              <w:top w:val="single" w:color="auto" w:sz="4" w:space="0"/>
              <w:left w:val="single" w:color="auto" w:sz="4" w:space="0"/>
              <w:bottom w:val="single" w:color="auto" w:sz="4" w:space="0"/>
              <w:right w:val="single" w:color="auto" w:sz="4" w:space="0"/>
            </w:tcBorders>
          </w:tcPr>
          <w:p w14:paraId="78EDF998">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B2提升教师教学能力、产学研用能力、信息技术应用能力，鼓励教师到业界实践、挂职和承担横向课题的政策措施</w:t>
            </w:r>
          </w:p>
        </w:tc>
      </w:tr>
      <w:tr w14:paraId="682F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BD16413">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8F74D01">
            <w:pPr>
              <w:widowControl/>
              <w:adjustRightInd w:val="0"/>
              <w:snapToGrid w:val="0"/>
              <w:spacing w:line="400" w:lineRule="exact"/>
              <w:jc w:val="left"/>
              <w:rPr>
                <w:rFonts w:ascii="Times New Roman" w:hAnsi="Times New Roman" w:eastAsia="仿宋" w:cs="Times New Roman"/>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5FD7AD47">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B4.4.4</w:t>
            </w:r>
          </w:p>
        </w:tc>
        <w:tc>
          <w:tcPr>
            <w:tcBorders>
              <w:top w:val="single" w:color="auto" w:sz="4" w:space="0"/>
              <w:left w:val="single" w:color="auto" w:sz="4" w:space="0"/>
              <w:bottom w:val="single" w:color="auto" w:sz="4" w:space="0"/>
              <w:right w:val="single" w:color="auto" w:sz="4" w:space="0"/>
            </w:tcBorders>
          </w:tcPr>
          <w:p w14:paraId="2D673330">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B1教师队伍分类管理与建设情况</w:t>
            </w:r>
          </w:p>
        </w:tc>
      </w:tr>
      <w:tr w14:paraId="6A5B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7A6D30D">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C1521DB">
            <w:pPr>
              <w:widowControl/>
              <w:adjustRightInd w:val="0"/>
              <w:snapToGrid w:val="0"/>
              <w:spacing w:line="400" w:lineRule="exact"/>
              <w:jc w:val="left"/>
              <w:rPr>
                <w:rFonts w:ascii="Times New Roman" w:hAnsi="Times New Roman" w:eastAsia="仿宋" w:cs="Times New Roman"/>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1EB5C66F">
            <w:pPr>
              <w:widowControl/>
              <w:adjustRightInd w:val="0"/>
              <w:snapToGrid w:val="0"/>
              <w:spacing w:line="400" w:lineRule="exact"/>
              <w:jc w:val="left"/>
              <w:rPr>
                <w:rFonts w:ascii="Times New Roman" w:hAnsi="Times New Roman" w:eastAsia="仿宋" w:cs="Times New Roman"/>
                <w:kern w:val="0"/>
                <w:sz w:val="28"/>
                <w:szCs w:val="28"/>
              </w:rPr>
            </w:pPr>
          </w:p>
        </w:tc>
        <w:tc>
          <w:tcPr>
            <w:tcBorders>
              <w:top w:val="single" w:color="auto" w:sz="4" w:space="0"/>
              <w:left w:val="single" w:color="auto" w:sz="4" w:space="0"/>
              <w:bottom w:val="single" w:color="auto" w:sz="4" w:space="0"/>
              <w:right w:val="single" w:color="auto" w:sz="4" w:space="0"/>
            </w:tcBorders>
          </w:tcPr>
          <w:p w14:paraId="6357A74C">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B2双师双能型教师队伍和实践教学教师队伍管理与建设情况</w:t>
            </w:r>
          </w:p>
          <w:p w14:paraId="27FB83D3">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【可选】专任教师中双师双能型教师的比例</w:t>
            </w:r>
          </w:p>
        </w:tc>
      </w:tr>
      <w:tr w14:paraId="2AE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5C920A7">
            <w:pPr>
              <w:widowControl/>
              <w:adjustRightInd w:val="0"/>
              <w:snapToGrid w:val="0"/>
              <w:spacing w:line="400" w:lineRule="exact"/>
              <w:jc w:val="left"/>
              <w:rPr>
                <w:rFonts w:ascii="Times New Roman" w:hAnsi="Times New Roman" w:eastAsia="仿宋" w:cs="Times New Roman"/>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3D0538A">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3075A8D8">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K4.4.5教师赴国（境）外交流、访学、参加国际会议、合作研究等情况</w:t>
            </w:r>
          </w:p>
        </w:tc>
      </w:tr>
      <w:tr w14:paraId="4E34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92" w:type="dxa"/>
            <w:vMerge w:val="restart"/>
            <w:tcBorders>
              <w:top w:val="single" w:color="auto" w:sz="4" w:space="0"/>
              <w:left w:val="single" w:color="auto" w:sz="4" w:space="0"/>
              <w:right w:val="single" w:color="auto" w:sz="4" w:space="0"/>
            </w:tcBorders>
            <w:vAlign w:val="center"/>
          </w:tcPr>
          <w:p w14:paraId="028CF4FC">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5.学生发展</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440DD8B">
            <w:pPr>
              <w:adjustRightInd w:val="0"/>
              <w:snapToGrid w:val="0"/>
              <w:spacing w:line="400" w:lineRule="exact"/>
              <w:jc w:val="center"/>
              <w:rPr>
                <w:rFonts w:ascii="Times New Roman" w:hAnsi="Times New Roman" w:eastAsia="仿宋" w:cs="Times New Roman"/>
                <w:color w:val="FF0000"/>
                <w:kern w:val="0"/>
                <w:sz w:val="28"/>
                <w:szCs w:val="28"/>
              </w:rPr>
            </w:pPr>
            <w:r>
              <w:rPr>
                <w:rFonts w:hint="default" w:ascii="Times New Roman" w:hAnsi="Times New Roman" w:eastAsia="仿宋" w:cs="Times New Roman"/>
                <w:kern w:val="0"/>
                <w:sz w:val="28"/>
                <w:szCs w:val="28"/>
              </w:rPr>
              <w:t>5.1理想信念</w:t>
            </w:r>
          </w:p>
        </w:tc>
        <w:tc>
          <w:tcPr>
            <w:gridSpan w:val="2"/>
            <w:tcBorders>
              <w:top w:val="single" w:color="auto" w:sz="4" w:space="0"/>
              <w:left w:val="single" w:color="auto" w:sz="4" w:space="0"/>
              <w:bottom w:val="single" w:color="auto" w:sz="4" w:space="0"/>
              <w:right w:val="single" w:color="auto" w:sz="4" w:space="0"/>
            </w:tcBorders>
          </w:tcPr>
          <w:p w14:paraId="465BE08E">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5.1.1学生理想信念和品德修养</w:t>
            </w:r>
          </w:p>
        </w:tc>
      </w:tr>
      <w:tr w14:paraId="57F9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left w:val="single" w:color="auto" w:sz="4" w:space="0"/>
              <w:right w:val="single" w:color="auto" w:sz="4" w:space="0"/>
            </w:tcBorders>
            <w:vAlign w:val="center"/>
          </w:tcPr>
          <w:p w14:paraId="1FF13B1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5CED1A5">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49A11D8">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5.1.2加强学风建设，教育引导学生爱国、励志、求真、力行情况</w:t>
            </w:r>
          </w:p>
        </w:tc>
      </w:tr>
      <w:tr w14:paraId="6B10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92" w:type="dxa"/>
            <w:vMerge w:val="continue"/>
            <w:tcBorders>
              <w:left w:val="single" w:color="auto" w:sz="4" w:space="0"/>
              <w:right w:val="single" w:color="auto" w:sz="4" w:space="0"/>
            </w:tcBorders>
            <w:vAlign w:val="center"/>
          </w:tcPr>
          <w:p w14:paraId="5F846930">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9919B16">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5.2学业成绩及综合素质</w:t>
            </w:r>
          </w:p>
        </w:tc>
        <w:tc>
          <w:tcPr>
            <w:vMerge w:val="restart"/>
            <w:tcBorders>
              <w:top w:val="single" w:color="auto" w:sz="4" w:space="0"/>
              <w:left w:val="single" w:color="auto" w:sz="4" w:space="0"/>
              <w:bottom w:val="single" w:color="auto" w:sz="4" w:space="0"/>
              <w:right w:val="single" w:color="auto" w:sz="4" w:space="0"/>
            </w:tcBorders>
            <w:vAlign w:val="center"/>
          </w:tcPr>
          <w:p w14:paraId="0FD06493">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B5.2.1</w:t>
            </w:r>
          </w:p>
        </w:tc>
        <w:tc>
          <w:tcPr>
            <w:tcBorders>
              <w:top w:val="single" w:color="auto" w:sz="4" w:space="0"/>
              <w:left w:val="single" w:color="auto" w:sz="4" w:space="0"/>
              <w:bottom w:val="single" w:color="auto" w:sz="4" w:space="0"/>
              <w:right w:val="single" w:color="auto" w:sz="4" w:space="0"/>
            </w:tcBorders>
            <w:vAlign w:val="center"/>
          </w:tcPr>
          <w:p w14:paraId="555C2CE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B1学生基础理论、知识面和创新能力</w:t>
            </w:r>
          </w:p>
          <w:p w14:paraId="132DE4D8">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【可选】本科生以第一作者/通讯作者在公开发行期刊发表的论文数和本科生获批国家发明专利数</w:t>
            </w:r>
          </w:p>
        </w:tc>
      </w:tr>
      <w:tr w14:paraId="505C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left w:val="single" w:color="auto" w:sz="4" w:space="0"/>
              <w:right w:val="single" w:color="auto" w:sz="4" w:space="0"/>
            </w:tcBorders>
            <w:vAlign w:val="center"/>
          </w:tcPr>
          <w:p w14:paraId="74DE42D8">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0CA1209">
            <w:pPr>
              <w:widowControl/>
              <w:adjustRightInd w:val="0"/>
              <w:snapToGrid w:val="0"/>
              <w:spacing w:line="400" w:lineRule="exact"/>
              <w:jc w:val="left"/>
              <w:rPr>
                <w:rFonts w:ascii="Times New Roman" w:hAnsi="Times New Roman" w:eastAsia="仿宋" w:cs="Times New Roman"/>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5046B386">
            <w:pPr>
              <w:widowControl/>
              <w:adjustRightInd w:val="0"/>
              <w:snapToGrid w:val="0"/>
              <w:spacing w:line="400" w:lineRule="exact"/>
              <w:jc w:val="left"/>
              <w:rPr>
                <w:rFonts w:ascii="Times New Roman" w:hAnsi="Times New Roman" w:eastAsia="仿宋" w:cs="Times New Roman"/>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24826B64">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B2学生综合应用知识能力和独立解决生产、管理和服务中实际问题能力</w:t>
            </w:r>
          </w:p>
          <w:p w14:paraId="4073FE3D">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【可选】在学期间获得国家认可的职业资格证书学生数占在校生数的比例</w:t>
            </w:r>
          </w:p>
          <w:p w14:paraId="7D88C008">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【可选】本科生以第一作者/通讯作者在公开发行期刊发表的论文数和本科生获批国家发明专利数</w:t>
            </w:r>
          </w:p>
        </w:tc>
      </w:tr>
      <w:tr w14:paraId="40F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2" w:type="dxa"/>
            <w:vMerge w:val="continue"/>
            <w:tcBorders>
              <w:left w:val="single" w:color="auto" w:sz="4" w:space="0"/>
              <w:right w:val="single" w:color="auto" w:sz="4" w:space="0"/>
            </w:tcBorders>
            <w:vAlign w:val="center"/>
          </w:tcPr>
          <w:p w14:paraId="0ADDCA3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31D6802">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7A5ED13">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5.2.2开展通识教育、体育、美育、劳动教育的措施与成效</w:t>
            </w:r>
          </w:p>
          <w:p w14:paraId="6F5ECD7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【必选】体质测试达标率</w:t>
            </w:r>
          </w:p>
        </w:tc>
      </w:tr>
      <w:tr w14:paraId="119B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1192" w:type="dxa"/>
            <w:vMerge w:val="continue"/>
            <w:tcBorders>
              <w:left w:val="single" w:color="auto" w:sz="4" w:space="0"/>
              <w:right w:val="single" w:color="auto" w:sz="4" w:space="0"/>
            </w:tcBorders>
            <w:vAlign w:val="center"/>
          </w:tcPr>
          <w:p w14:paraId="01B4046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8F4F734">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4BDB9D61">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5.2.3社团活动、校园文化、社会实践、志愿服务等活动开展情况及育人效果</w:t>
            </w:r>
          </w:p>
          <w:p w14:paraId="1FECDDD6">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【可选】省级及以上艺术展演、体育竞赛参赛获奖学生人次数占学生总数的比例</w:t>
            </w:r>
          </w:p>
        </w:tc>
      </w:tr>
      <w:tr w14:paraId="6656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jc w:val="center"/>
        </w:trPr>
        <w:tc>
          <w:tcPr>
            <w:tcW w:w="1192" w:type="dxa"/>
            <w:vMerge w:val="continue"/>
            <w:tcBorders>
              <w:left w:val="single" w:color="auto" w:sz="4" w:space="0"/>
              <w:right w:val="single" w:color="auto" w:sz="4" w:space="0"/>
            </w:tcBorders>
            <w:vAlign w:val="center"/>
          </w:tcPr>
          <w:p w14:paraId="603FFBD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right w:val="single" w:color="auto" w:sz="4" w:space="0"/>
            </w:tcBorders>
            <w:vAlign w:val="center"/>
          </w:tcPr>
          <w:p w14:paraId="5C26E6D1">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K5.3国际</w:t>
            </w:r>
          </w:p>
          <w:p w14:paraId="2F6EB8E7">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color w:val="000000"/>
                <w:kern w:val="0"/>
                <w:sz w:val="28"/>
                <w:szCs w:val="28"/>
              </w:rPr>
              <w:t>视野</w:t>
            </w:r>
          </w:p>
        </w:tc>
        <w:tc>
          <w:tcPr>
            <w:gridSpan w:val="2"/>
            <w:tcBorders>
              <w:top w:val="single" w:color="auto" w:sz="4" w:space="0"/>
              <w:left w:val="single" w:color="auto" w:sz="4" w:space="0"/>
              <w:right w:val="single" w:color="auto" w:sz="4" w:space="0"/>
            </w:tcBorders>
            <w:vAlign w:val="center"/>
          </w:tcPr>
          <w:p w14:paraId="35F0DCCA">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K5.3.1与国（境）外大学合作办学、合作育人以及与本科教育相关的国际交流活动和来华留学生教育开展情况</w:t>
            </w:r>
          </w:p>
          <w:p w14:paraId="31F23BE0">
            <w:pPr>
              <w:adjustRightInd w:val="0"/>
              <w:snapToGrid w:val="0"/>
              <w:spacing w:line="440" w:lineRule="exact"/>
              <w:rPr>
                <w:rFonts w:ascii="Times New Roman" w:hAnsi="Times New Roman" w:eastAsia="仿宋" w:cs="Times New Roman"/>
                <w:color w:val="FF0000"/>
                <w:kern w:val="0"/>
                <w:sz w:val="28"/>
                <w:szCs w:val="28"/>
                <w:highlight w:val="yellow"/>
              </w:rPr>
            </w:pPr>
            <w:r>
              <w:rPr>
                <w:rFonts w:hint="default" w:ascii="Times New Roman" w:hAnsi="Times New Roman" w:eastAsia="仿宋" w:cs="Times New Roman"/>
                <w:color w:val="FF0000"/>
                <w:kern w:val="0"/>
                <w:sz w:val="28"/>
                <w:szCs w:val="28"/>
                <w:highlight w:val="yellow"/>
              </w:rPr>
              <w:t>【可选】与国(境)外大学合作办学、学分互认、学位互授项目学生数</w:t>
            </w:r>
            <w:r>
              <w:rPr>
                <w:rFonts w:ascii="Times New Roman" w:hAnsi="Times New Roman" w:eastAsia="仿宋" w:cs="Times New Roman"/>
                <w:color w:val="FF0000"/>
                <w:kern w:val="0"/>
                <w:sz w:val="28"/>
                <w:szCs w:val="28"/>
                <w:highlight w:val="yellow"/>
              </w:rPr>
              <w:t>占在校</w:t>
            </w:r>
            <w:r>
              <w:rPr>
                <w:rFonts w:hint="default" w:ascii="Times New Roman" w:hAnsi="Times New Roman" w:eastAsia="仿宋" w:cs="Times New Roman"/>
                <w:color w:val="FF0000"/>
                <w:kern w:val="0"/>
                <w:sz w:val="28"/>
                <w:szCs w:val="28"/>
                <w:highlight w:val="yellow"/>
              </w:rPr>
              <w:t>本科</w:t>
            </w:r>
            <w:r>
              <w:rPr>
                <w:rFonts w:ascii="Times New Roman" w:hAnsi="Times New Roman" w:eastAsia="仿宋" w:cs="Times New Roman"/>
                <w:color w:val="FF0000"/>
                <w:kern w:val="0"/>
                <w:sz w:val="28"/>
                <w:szCs w:val="28"/>
                <w:highlight w:val="yellow"/>
              </w:rPr>
              <w:t>生数的比例</w:t>
            </w:r>
          </w:p>
          <w:p w14:paraId="30814746">
            <w:pPr>
              <w:adjustRightInd w:val="0"/>
              <w:snapToGrid w:val="0"/>
              <w:spacing w:line="440" w:lineRule="exact"/>
              <w:rPr>
                <w:rFonts w:ascii="Times New Roman" w:hAnsi="Times New Roman" w:eastAsia="仿宋" w:cs="Times New Roman"/>
                <w:kern w:val="0"/>
                <w:sz w:val="28"/>
                <w:szCs w:val="28"/>
              </w:rPr>
            </w:pPr>
            <w:r>
              <w:rPr>
                <w:rFonts w:ascii="Times New Roman" w:hAnsi="Times New Roman" w:eastAsia="仿宋" w:cs="Times New Roman"/>
                <w:color w:val="FF0000"/>
                <w:kern w:val="0"/>
                <w:sz w:val="28"/>
                <w:szCs w:val="28"/>
                <w:highlight w:val="yellow"/>
              </w:rPr>
              <w:t>【可选】</w:t>
            </w:r>
            <w:r>
              <w:rPr>
                <w:rFonts w:hint="default" w:ascii="Times New Roman" w:hAnsi="Times New Roman" w:eastAsia="仿宋" w:cs="Times New Roman"/>
                <w:color w:val="FF0000"/>
                <w:kern w:val="0"/>
                <w:sz w:val="28"/>
                <w:szCs w:val="28"/>
                <w:highlight w:val="yellow"/>
              </w:rPr>
              <w:t>在籍国际学生和港澳台学生占在校本科生数的比例</w:t>
            </w:r>
          </w:p>
        </w:tc>
      </w:tr>
      <w:tr w14:paraId="2148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192" w:type="dxa"/>
            <w:vMerge w:val="continue"/>
            <w:tcBorders>
              <w:left w:val="single" w:color="auto" w:sz="4" w:space="0"/>
              <w:right w:val="single" w:color="auto" w:sz="4" w:space="0"/>
            </w:tcBorders>
            <w:vAlign w:val="center"/>
          </w:tcPr>
          <w:p w14:paraId="3BB4A67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right w:val="single" w:color="auto" w:sz="4" w:space="0"/>
            </w:tcBorders>
            <w:vAlign w:val="center"/>
          </w:tcPr>
          <w:p w14:paraId="32ED9677">
            <w:pPr>
              <w:widowControl/>
              <w:adjustRightInd w:val="0"/>
              <w:snapToGrid w:val="0"/>
              <w:spacing w:line="400" w:lineRule="exact"/>
              <w:jc w:val="center"/>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right w:val="single" w:color="auto" w:sz="4" w:space="0"/>
            </w:tcBorders>
            <w:vAlign w:val="center"/>
          </w:tcPr>
          <w:p w14:paraId="1646C3C7">
            <w:pPr>
              <w:widowControl/>
              <w:spacing w:line="300" w:lineRule="exact"/>
              <w:rPr>
                <w:rFonts w:ascii="Times New Roman" w:hAnsi="Times New Roman" w:eastAsia="仿宋" w:cs="Times New Roman"/>
                <w:kern w:val="0"/>
                <w:sz w:val="28"/>
                <w:szCs w:val="28"/>
              </w:rPr>
            </w:pPr>
            <w:r>
              <w:rPr>
                <w:rFonts w:ascii="Times New Roman" w:hAnsi="Times New Roman" w:eastAsia="仿宋" w:cs="Times New Roman"/>
                <w:kern w:val="0"/>
                <w:sz w:val="28"/>
                <w:szCs w:val="28"/>
              </w:rPr>
              <w:t>K 5.</w:t>
            </w:r>
            <w:r>
              <w:rPr>
                <w:rFonts w:hint="default" w:ascii="Times New Roman" w:hAnsi="Times New Roman" w:eastAsia="仿宋" w:cs="Times New Roman"/>
                <w:kern w:val="0"/>
                <w:sz w:val="28"/>
                <w:szCs w:val="28"/>
              </w:rPr>
              <w:t>3</w:t>
            </w:r>
            <w:r>
              <w:rPr>
                <w:rFonts w:ascii="Times New Roman" w:hAnsi="Times New Roman" w:eastAsia="仿宋" w:cs="Times New Roman"/>
                <w:kern w:val="0"/>
                <w:sz w:val="28"/>
                <w:szCs w:val="28"/>
              </w:rPr>
              <w:t xml:space="preserve">.2 </w:t>
            </w:r>
            <w:r>
              <w:rPr>
                <w:rFonts w:hint="default" w:ascii="Times New Roman" w:hAnsi="Times New Roman" w:eastAsia="仿宋" w:cs="Times New Roman"/>
                <w:kern w:val="0"/>
                <w:sz w:val="28"/>
                <w:szCs w:val="28"/>
              </w:rPr>
              <w:t>国际先进教育理念、</w:t>
            </w:r>
            <w:r>
              <w:rPr>
                <w:rFonts w:hint="default" w:ascii="Times New Roman" w:hAnsi="Times New Roman" w:eastAsia="仿宋" w:cs="Times New Roman"/>
                <w:kern w:val="0"/>
                <w:sz w:val="28"/>
                <w:szCs w:val="28"/>
                <w:lang w:eastAsia="zh-CN"/>
              </w:rPr>
              <w:t>国际化一流课程等</w:t>
            </w:r>
            <w:r>
              <w:rPr>
                <w:rFonts w:hint="default" w:ascii="Times New Roman" w:hAnsi="Times New Roman" w:eastAsia="仿宋" w:cs="Times New Roman"/>
                <w:kern w:val="0"/>
                <w:sz w:val="28"/>
                <w:szCs w:val="28"/>
              </w:rPr>
              <w:t>优质教育资源的吸收内化</w:t>
            </w:r>
            <w:r>
              <w:rPr>
                <w:rFonts w:ascii="Times New Roman" w:hAnsi="Times New Roman" w:eastAsia="仿宋" w:cs="Times New Roman"/>
                <w:kern w:val="0"/>
                <w:sz w:val="28"/>
                <w:szCs w:val="28"/>
              </w:rPr>
              <w:t>、培育和输出共享</w:t>
            </w:r>
            <w:r>
              <w:rPr>
                <w:rFonts w:hint="default" w:ascii="Times New Roman" w:hAnsi="Times New Roman" w:eastAsia="仿宋" w:cs="Times New Roman"/>
                <w:kern w:val="0"/>
                <w:sz w:val="28"/>
                <w:szCs w:val="28"/>
              </w:rPr>
              <w:t>情况</w:t>
            </w:r>
          </w:p>
        </w:tc>
      </w:tr>
      <w:tr w14:paraId="67AB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1192" w:type="dxa"/>
            <w:vMerge w:val="continue"/>
            <w:tcBorders>
              <w:left w:val="single" w:color="auto" w:sz="4" w:space="0"/>
              <w:right w:val="single" w:color="auto" w:sz="4" w:space="0"/>
            </w:tcBorders>
            <w:vAlign w:val="center"/>
          </w:tcPr>
          <w:p w14:paraId="347E7D4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left w:val="single" w:color="auto" w:sz="4" w:space="0"/>
              <w:bottom w:val="single" w:color="auto" w:sz="4" w:space="0"/>
              <w:right w:val="single" w:color="auto" w:sz="4" w:space="0"/>
            </w:tcBorders>
            <w:vAlign w:val="center"/>
          </w:tcPr>
          <w:p w14:paraId="12AB8DB5">
            <w:pPr>
              <w:widowControl/>
              <w:adjustRightInd w:val="0"/>
              <w:snapToGrid w:val="0"/>
              <w:spacing w:line="400" w:lineRule="exact"/>
              <w:jc w:val="center"/>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right w:val="single" w:color="auto" w:sz="4" w:space="0"/>
            </w:tcBorders>
            <w:vAlign w:val="center"/>
          </w:tcPr>
          <w:p w14:paraId="75B78330">
            <w:pPr>
              <w:widowControl/>
              <w:spacing w:line="300" w:lineRule="exact"/>
              <w:rPr>
                <w:rFonts w:ascii="Times New Roman" w:hAnsi="Times New Roman" w:eastAsia="仿宋" w:cs="Times New Roman"/>
                <w:kern w:val="0"/>
                <w:sz w:val="28"/>
                <w:szCs w:val="28"/>
              </w:rPr>
            </w:pPr>
            <w:r>
              <w:rPr>
                <w:rFonts w:ascii="Times New Roman" w:hAnsi="Times New Roman" w:eastAsia="仿宋" w:cs="Times New Roman"/>
                <w:kern w:val="0"/>
                <w:sz w:val="28"/>
                <w:szCs w:val="28"/>
              </w:rPr>
              <w:t>K 5.</w:t>
            </w:r>
            <w:r>
              <w:rPr>
                <w:rFonts w:hint="default" w:ascii="Times New Roman" w:hAnsi="Times New Roman" w:eastAsia="仿宋" w:cs="Times New Roman"/>
                <w:kern w:val="0"/>
                <w:sz w:val="28"/>
                <w:szCs w:val="28"/>
              </w:rPr>
              <w:t>3</w:t>
            </w:r>
            <w:r>
              <w:rPr>
                <w:rFonts w:ascii="Times New Roman" w:hAnsi="Times New Roman" w:eastAsia="仿宋" w:cs="Times New Roman"/>
                <w:kern w:val="0"/>
                <w:sz w:val="28"/>
                <w:szCs w:val="28"/>
              </w:rPr>
              <w:t xml:space="preserve">.3 </w:t>
            </w:r>
            <w:r>
              <w:rPr>
                <w:rFonts w:hint="default" w:ascii="Times New Roman" w:hAnsi="Times New Roman" w:eastAsia="仿宋" w:cs="Times New Roman"/>
                <w:kern w:val="0"/>
                <w:sz w:val="28"/>
                <w:szCs w:val="28"/>
              </w:rPr>
              <w:t>学生赴国（境）外交流、访学、实习、竞赛、参加国际会议、合作研究等情况</w:t>
            </w:r>
          </w:p>
          <w:p w14:paraId="08EBC90F">
            <w:pPr>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highlight w:val="yellow"/>
              </w:rPr>
              <w:t>【可选】</w:t>
            </w:r>
            <w:r>
              <w:rPr>
                <w:rFonts w:hint="default" w:ascii="Times New Roman" w:hAnsi="Times New Roman" w:eastAsia="仿宋" w:cs="Times New Roman"/>
                <w:color w:val="auto"/>
                <w:kern w:val="0"/>
                <w:sz w:val="28"/>
                <w:szCs w:val="28"/>
                <w:highlight w:val="yellow"/>
              </w:rPr>
              <w:t>在学期间赴国（境）外</w:t>
            </w:r>
            <w:r>
              <w:rPr>
                <w:rFonts w:hint="default" w:ascii="Times New Roman" w:hAnsi="Times New Roman" w:eastAsia="仿宋" w:cs="Times New Roman"/>
                <w:color w:val="auto"/>
                <w:kern w:val="0"/>
                <w:sz w:val="28"/>
                <w:szCs w:val="28"/>
                <w:highlight w:val="yellow"/>
                <w:lang w:eastAsia="zh-CN"/>
              </w:rPr>
              <w:t>或线上</w:t>
            </w:r>
            <w:r>
              <w:rPr>
                <w:rFonts w:hint="default" w:ascii="Times New Roman" w:hAnsi="Times New Roman" w:eastAsia="仿宋" w:cs="Times New Roman"/>
                <w:color w:val="auto"/>
                <w:kern w:val="0"/>
                <w:sz w:val="28"/>
                <w:szCs w:val="28"/>
                <w:highlight w:val="yellow"/>
              </w:rPr>
              <w:t>交流、访学、实习</w:t>
            </w:r>
            <w:r>
              <w:rPr>
                <w:rFonts w:hint="default" w:ascii="Times New Roman" w:hAnsi="Times New Roman" w:eastAsia="仿宋" w:cs="Times New Roman"/>
                <w:color w:val="FF0000"/>
                <w:kern w:val="0"/>
                <w:sz w:val="28"/>
                <w:szCs w:val="28"/>
                <w:highlight w:val="yellow"/>
                <w:lang w:eastAsia="zh-CN"/>
              </w:rPr>
              <w:t>、参加国际会议、开展合作研究</w:t>
            </w:r>
            <w:r>
              <w:rPr>
                <w:rFonts w:hint="default" w:ascii="Times New Roman" w:hAnsi="Times New Roman" w:eastAsia="仿宋" w:cs="Times New Roman"/>
                <w:color w:val="FF0000"/>
                <w:kern w:val="0"/>
                <w:sz w:val="28"/>
                <w:szCs w:val="28"/>
                <w:highlight w:val="yellow"/>
              </w:rPr>
              <w:t>的</w:t>
            </w:r>
            <w:r>
              <w:rPr>
                <w:rFonts w:hint="default" w:ascii="Times New Roman" w:hAnsi="Times New Roman" w:eastAsia="仿宋" w:cs="Times New Roman"/>
                <w:color w:val="auto"/>
                <w:kern w:val="0"/>
                <w:sz w:val="28"/>
                <w:szCs w:val="28"/>
                <w:highlight w:val="yellow"/>
              </w:rPr>
              <w:t>学生数占在校生数的比例</w:t>
            </w:r>
          </w:p>
        </w:tc>
      </w:tr>
      <w:tr w14:paraId="764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92" w:type="dxa"/>
            <w:vMerge w:val="continue"/>
            <w:tcBorders>
              <w:left w:val="single" w:color="auto" w:sz="4" w:space="0"/>
              <w:right w:val="single" w:color="auto" w:sz="4" w:space="0"/>
            </w:tcBorders>
            <w:vAlign w:val="center"/>
          </w:tcPr>
          <w:p w14:paraId="2D9743F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ABAA45A">
            <w:pPr>
              <w:widowControl/>
              <w:adjustRightInd w:val="0"/>
              <w:snapToGrid w:val="0"/>
              <w:spacing w:line="400" w:lineRule="exact"/>
              <w:jc w:val="center"/>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5.4支持服务</w:t>
            </w:r>
          </w:p>
        </w:tc>
        <w:tc>
          <w:tcPr>
            <w:gridSpan w:val="2"/>
            <w:tcBorders>
              <w:top w:val="single" w:color="auto" w:sz="4" w:space="0"/>
              <w:left w:val="single" w:color="auto" w:sz="4" w:space="0"/>
              <w:bottom w:val="single" w:color="auto" w:sz="4" w:space="0"/>
              <w:right w:val="single" w:color="auto" w:sz="4" w:space="0"/>
            </w:tcBorders>
          </w:tcPr>
          <w:p w14:paraId="023583FC">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5.4.1领导干部和教师参与学生工作的情况</w:t>
            </w:r>
          </w:p>
        </w:tc>
      </w:tr>
      <w:tr w14:paraId="5CA8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1192" w:type="dxa"/>
            <w:vMerge w:val="continue"/>
            <w:tcBorders>
              <w:left w:val="single" w:color="auto" w:sz="4" w:space="0"/>
              <w:right w:val="single" w:color="auto" w:sz="4" w:space="0"/>
            </w:tcBorders>
            <w:vAlign w:val="center"/>
          </w:tcPr>
          <w:p w14:paraId="5267015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23E89EB5">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1037819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5.4.2学校开展学生指导服务工作（学业、职业生涯规划、就业、家庭经济困难学生资助、心理健康咨询等）情况，学业导师、心理辅导教师、校医等配备及师生交流活动专门场所建设情况</w:t>
            </w:r>
          </w:p>
          <w:p w14:paraId="7181A5F5">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【必选】专职辅导员岗位与在校生比例≥1:200</w:t>
            </w:r>
          </w:p>
          <w:p w14:paraId="380FA9B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【必选】专职从事心理健康教育教师与在校生比例≥1:4000且至少2名</w:t>
            </w:r>
          </w:p>
          <w:p w14:paraId="63BFD41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【必选】专职就业指导教师和专职就业工作人员与应届毕业生比例≥1:500</w:t>
            </w:r>
          </w:p>
          <w:p w14:paraId="7422A56A">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color w:val="FF0000"/>
                <w:kern w:val="0"/>
                <w:sz w:val="28"/>
                <w:szCs w:val="28"/>
                <w:highlight w:val="yellow"/>
              </w:rPr>
              <w:t>【可选】本科生导师制的开展情况</w:t>
            </w:r>
          </w:p>
        </w:tc>
      </w:tr>
      <w:tr w14:paraId="3417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2" w:type="dxa"/>
            <w:vMerge w:val="continue"/>
            <w:tcBorders>
              <w:left w:val="single" w:color="auto" w:sz="4" w:space="0"/>
              <w:right w:val="single" w:color="auto" w:sz="4" w:space="0"/>
            </w:tcBorders>
            <w:vAlign w:val="center"/>
          </w:tcPr>
          <w:p w14:paraId="2DE7D834">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5527181">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53A2826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5.4.3与学分制改革和弹性学习相适应的管理制度、辅修专业制度、双学士学位制度建设情况</w:t>
            </w:r>
          </w:p>
        </w:tc>
      </w:tr>
      <w:tr w14:paraId="4CD4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2" w:type="dxa"/>
            <w:vMerge w:val="continue"/>
            <w:tcBorders>
              <w:left w:val="single" w:color="auto" w:sz="4" w:space="0"/>
              <w:bottom w:val="single" w:color="auto" w:sz="4" w:space="0"/>
              <w:right w:val="single" w:color="auto" w:sz="4" w:space="0"/>
            </w:tcBorders>
            <w:vAlign w:val="center"/>
          </w:tcPr>
          <w:p w14:paraId="1C3332BD">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4A4BFDF6">
            <w:pPr>
              <w:widowControl/>
              <w:adjustRightInd w:val="0"/>
              <w:snapToGrid w:val="0"/>
              <w:spacing w:line="400" w:lineRule="exact"/>
              <w:jc w:val="left"/>
              <w:rPr>
                <w:rFonts w:ascii="Times New Roman" w:hAnsi="Times New Roman" w:eastAsia="仿宋" w:cs="Times New Roman"/>
                <w:kern w:val="0"/>
                <w:sz w:val="28"/>
                <w:szCs w:val="28"/>
              </w:rPr>
            </w:pPr>
          </w:p>
        </w:tc>
        <w:tc>
          <w:tcPr>
            <w:gridSpan w:val="2"/>
            <w:tcBorders>
              <w:top w:val="single" w:color="auto" w:sz="4" w:space="0"/>
              <w:left w:val="single" w:color="auto" w:sz="4" w:space="0"/>
              <w:bottom w:val="single" w:color="auto" w:sz="4" w:space="0"/>
              <w:right w:val="single" w:color="auto" w:sz="4" w:space="0"/>
            </w:tcBorders>
          </w:tcPr>
          <w:p w14:paraId="7895EA9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K5.4.4探索学生成长增值评价，重视学生学习体验、自我发展能力和职业发展能力的具体措施及实施成效</w:t>
            </w:r>
          </w:p>
        </w:tc>
      </w:tr>
      <w:tr w14:paraId="2573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2592E0A8">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6.质量保障</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594A3CB2">
            <w:pPr>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6.1质量管理</w:t>
            </w:r>
          </w:p>
        </w:tc>
        <w:tc>
          <w:tcPr>
            <w:gridSpan w:val="2"/>
            <w:tcBorders>
              <w:top w:val="single" w:color="auto" w:sz="4" w:space="0"/>
              <w:left w:val="single" w:color="auto" w:sz="4" w:space="0"/>
              <w:bottom w:val="single" w:color="auto" w:sz="4" w:space="0"/>
              <w:right w:val="single" w:color="auto" w:sz="4" w:space="0"/>
            </w:tcBorders>
            <w:vAlign w:val="center"/>
          </w:tcPr>
          <w:p w14:paraId="2A509BA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6.1.1学校质量标准、质量管理制度、质量保障机构及队伍建设情况</w:t>
            </w:r>
          </w:p>
        </w:tc>
      </w:tr>
      <w:tr w14:paraId="4A31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32EE3E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9E7FA08">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7BEF9E41">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6.1.2加强考试管理、严肃考试纪律、完善过程性考核与结果性考核有机结合的学业考评制度、严把考试和毕业出口关的情况</w:t>
            </w:r>
          </w:p>
          <w:p w14:paraId="7FB6D81D">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color w:val="FF0000"/>
                <w:kern w:val="0"/>
                <w:sz w:val="28"/>
                <w:szCs w:val="28"/>
                <w:highlight w:val="yellow"/>
              </w:rPr>
              <w:t>【必选】</w:t>
            </w:r>
            <w:r>
              <w:rPr>
                <w:rFonts w:hint="default" w:ascii="Times New Roman" w:hAnsi="Times New Roman" w:eastAsia="仿宋" w:cs="Times New Roman"/>
                <w:color w:val="FF0000"/>
                <w:kern w:val="0"/>
                <w:sz w:val="28"/>
                <w:szCs w:val="28"/>
                <w:highlight w:val="yellow"/>
                <w:lang w:eastAsia="zh-CN"/>
              </w:rPr>
              <w:t>普通</w:t>
            </w:r>
            <w:r>
              <w:rPr>
                <w:rFonts w:hint="default" w:ascii="Times New Roman" w:hAnsi="Times New Roman" w:eastAsia="仿宋" w:cs="Times New Roman"/>
                <w:color w:val="FF0000"/>
                <w:kern w:val="0"/>
                <w:sz w:val="28"/>
                <w:szCs w:val="28"/>
                <w:highlight w:val="yellow"/>
              </w:rPr>
              <w:t>本科毕业论文（设计）抽检结果</w:t>
            </w:r>
          </w:p>
        </w:tc>
      </w:tr>
      <w:tr w14:paraId="73C7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EEEF25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6C69DC4">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6.2质量改进</w:t>
            </w:r>
          </w:p>
        </w:tc>
        <w:tc>
          <w:tcPr>
            <w:gridSpan w:val="2"/>
            <w:tcBorders>
              <w:top w:val="single" w:color="auto" w:sz="4" w:space="0"/>
              <w:left w:val="single" w:color="auto" w:sz="4" w:space="0"/>
              <w:bottom w:val="single" w:color="auto" w:sz="4" w:space="0"/>
              <w:right w:val="single" w:color="auto" w:sz="4" w:space="0"/>
            </w:tcBorders>
            <w:vAlign w:val="center"/>
          </w:tcPr>
          <w:p w14:paraId="4E4F95C8">
            <w:pPr>
              <w:widowControl/>
              <w:adjustRightInd w:val="0"/>
              <w:snapToGrid w:val="0"/>
              <w:spacing w:line="400" w:lineRule="exact"/>
              <w:rPr>
                <w:rFonts w:ascii="Times New Roman" w:hAnsi="Times New Roman" w:eastAsia="仿宋" w:cs="Times New Roman"/>
                <w:color w:val="000000"/>
                <w:spacing w:val="-2"/>
                <w:kern w:val="0"/>
                <w:sz w:val="28"/>
                <w:szCs w:val="28"/>
              </w:rPr>
            </w:pPr>
            <w:r>
              <w:rPr>
                <w:rFonts w:hint="default" w:ascii="Times New Roman" w:hAnsi="Times New Roman" w:eastAsia="仿宋" w:cs="Times New Roman"/>
                <w:kern w:val="0"/>
                <w:sz w:val="28"/>
                <w:szCs w:val="28"/>
              </w:rPr>
              <w:t>6.2.1学校内部质量评估制度的建立及接受外部评估（含院校评估、专业认证等）情况</w:t>
            </w:r>
          </w:p>
        </w:tc>
      </w:tr>
      <w:tr w14:paraId="6767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CF912F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E78C4C0">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3F7C673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6.2.2质量持续改进机制建设与改进效果</w:t>
            </w:r>
          </w:p>
        </w:tc>
      </w:tr>
      <w:tr w14:paraId="24C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3A0B832">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2533D5E">
            <w:pPr>
              <w:widowControl/>
              <w:adjustRightInd w:val="0"/>
              <w:snapToGrid w:val="0"/>
              <w:spacing w:line="400" w:lineRule="exact"/>
              <w:jc w:val="center"/>
              <w:rPr>
                <w:rFonts w:ascii="Times New Roman" w:hAnsi="Times New Roman" w:eastAsia="仿宋" w:cs="Times New Roman"/>
                <w:color w:val="FF0000"/>
                <w:kern w:val="0"/>
                <w:sz w:val="28"/>
                <w:szCs w:val="28"/>
              </w:rPr>
            </w:pPr>
            <w:r>
              <w:rPr>
                <w:rFonts w:hint="default" w:ascii="Times New Roman" w:hAnsi="Times New Roman" w:eastAsia="仿宋" w:cs="Times New Roman"/>
                <w:color w:val="000000"/>
                <w:kern w:val="0"/>
                <w:sz w:val="28"/>
                <w:szCs w:val="28"/>
              </w:rPr>
              <w:t>6.3质量文化</w:t>
            </w:r>
          </w:p>
        </w:tc>
        <w:tc>
          <w:tcPr>
            <w:gridSpan w:val="2"/>
            <w:tcBorders>
              <w:top w:val="single" w:color="auto" w:sz="4" w:space="0"/>
              <w:left w:val="single" w:color="auto" w:sz="4" w:space="0"/>
              <w:bottom w:val="single" w:color="auto" w:sz="4" w:space="0"/>
              <w:right w:val="single" w:color="auto" w:sz="4" w:space="0"/>
            </w:tcBorders>
            <w:vAlign w:val="center"/>
          </w:tcPr>
          <w:p w14:paraId="1DAE8C6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6.3.1自觉、自省、自律、自查、自纠的质量文化建设情况</w:t>
            </w:r>
          </w:p>
        </w:tc>
      </w:tr>
      <w:tr w14:paraId="2922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1095090">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B3FCFF4">
            <w:pPr>
              <w:widowControl/>
              <w:adjustRightInd w:val="0"/>
              <w:snapToGrid w:val="0"/>
              <w:spacing w:line="400" w:lineRule="exact"/>
              <w:jc w:val="left"/>
              <w:rPr>
                <w:rFonts w:ascii="Times New Roman" w:hAnsi="Times New Roman" w:eastAsia="仿宋" w:cs="Times New Roman"/>
                <w:color w:val="FF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5FD661FF">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6.3.2质量信息公开制度及年度质量报告</w:t>
            </w:r>
          </w:p>
        </w:tc>
      </w:tr>
      <w:tr w14:paraId="0C2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4FC3DFE7">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7.教学成效</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634A87B9">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7.1达成度</w:t>
            </w:r>
          </w:p>
        </w:tc>
        <w:tc>
          <w:tcPr>
            <w:gridSpan w:val="2"/>
            <w:tcBorders>
              <w:top w:val="single" w:color="auto" w:sz="4" w:space="0"/>
              <w:left w:val="single" w:color="auto" w:sz="4" w:space="0"/>
              <w:bottom w:val="single" w:color="auto" w:sz="4" w:space="0"/>
              <w:right w:val="single" w:color="auto" w:sz="4" w:space="0"/>
            </w:tcBorders>
            <w:vAlign w:val="center"/>
          </w:tcPr>
          <w:p w14:paraId="37FBEBC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7.1.1学校各专业人才培养目标的达成情况</w:t>
            </w:r>
          </w:p>
        </w:tc>
      </w:tr>
      <w:tr w14:paraId="1C12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560678ED">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68F0A92">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708D72D4">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7.1.2毕业生质量持续跟踪评价机制建立情况及跟踪评价结果</w:t>
            </w:r>
          </w:p>
        </w:tc>
      </w:tr>
      <w:tr w14:paraId="6663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CE9A49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2514E417">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7.2适应度</w:t>
            </w:r>
          </w:p>
        </w:tc>
        <w:tc>
          <w:tcPr>
            <w:gridSpan w:val="2"/>
            <w:tcBorders>
              <w:top w:val="single" w:color="auto" w:sz="4" w:space="0"/>
              <w:left w:val="single" w:color="auto" w:sz="4" w:space="0"/>
              <w:bottom w:val="single" w:color="auto" w:sz="4" w:space="0"/>
              <w:right w:val="single" w:color="auto" w:sz="4" w:space="0"/>
            </w:tcBorders>
            <w:vAlign w:val="center"/>
          </w:tcPr>
          <w:p w14:paraId="554852DA">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7.2.1学校本科生源状况</w:t>
            </w:r>
          </w:p>
        </w:tc>
      </w:tr>
      <w:tr w14:paraId="0564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05D2BEA0">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0ED36E2B">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restart"/>
            <w:tcBorders>
              <w:top w:val="single" w:color="auto" w:sz="4" w:space="0"/>
              <w:left w:val="single" w:color="auto" w:sz="4" w:space="0"/>
              <w:bottom w:val="single" w:color="auto" w:sz="4" w:space="0"/>
              <w:right w:val="single" w:color="auto" w:sz="4" w:space="0"/>
            </w:tcBorders>
            <w:vAlign w:val="center"/>
          </w:tcPr>
          <w:p w14:paraId="32F6ED56">
            <w:pPr>
              <w:widowControl/>
              <w:adjustRightInd w:val="0"/>
              <w:snapToGrid w:val="0"/>
              <w:spacing w:line="400" w:lineRule="exact"/>
              <w:jc w:val="lef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B7.2.2</w:t>
            </w:r>
          </w:p>
        </w:tc>
        <w:tc>
          <w:tcPr>
            <w:tcBorders>
              <w:top w:val="single" w:color="auto" w:sz="4" w:space="0"/>
              <w:left w:val="single" w:color="auto" w:sz="4" w:space="0"/>
              <w:bottom w:val="single" w:color="auto" w:sz="4" w:space="0"/>
              <w:right w:val="single" w:color="auto" w:sz="4" w:space="0"/>
            </w:tcBorders>
            <w:vAlign w:val="center"/>
          </w:tcPr>
          <w:p w14:paraId="6781B404">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B1毕业生面向国家和经济社会发展需要就业情况、就业质量和职业发展情况</w:t>
            </w:r>
          </w:p>
          <w:p w14:paraId="07CC2C43">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【可选】升学率（含国内与国外）</w:t>
            </w:r>
          </w:p>
          <w:p w14:paraId="2F7A54A7">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【可选】应届本科生初次就业率及结构</w:t>
            </w:r>
          </w:p>
        </w:tc>
      </w:tr>
      <w:tr w14:paraId="3A3A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B360B9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5437FA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14:paraId="687D63F2">
            <w:pPr>
              <w:widowControl/>
              <w:adjustRightInd w:val="0"/>
              <w:snapToGrid w:val="0"/>
              <w:spacing w:line="400" w:lineRule="exact"/>
              <w:jc w:val="left"/>
              <w:rPr>
                <w:rFonts w:ascii="Times New Roman" w:hAnsi="Times New Roman" w:eastAsia="仿宋" w:cs="Times New Roman"/>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14:paraId="4A6DA62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B2毕业生面向学校所服务的区域和行业企业就业情况、就业质量及职业发展情况</w:t>
            </w:r>
          </w:p>
          <w:p w14:paraId="036E58BB">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【可选】升学率（含国内与国外）</w:t>
            </w:r>
          </w:p>
          <w:p w14:paraId="7371828D">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【可选】应届本科生初次就业率及结构</w:t>
            </w:r>
          </w:p>
        </w:tc>
      </w:tr>
      <w:tr w14:paraId="5BDE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4953E18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3CC69DCC">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7.3保障度</w:t>
            </w:r>
          </w:p>
        </w:tc>
        <w:tc>
          <w:tcPr>
            <w:gridSpan w:val="2"/>
            <w:tcBorders>
              <w:top w:val="single" w:color="auto" w:sz="4" w:space="0"/>
              <w:left w:val="single" w:color="auto" w:sz="4" w:space="0"/>
              <w:bottom w:val="single" w:color="auto" w:sz="4" w:space="0"/>
              <w:right w:val="single" w:color="auto" w:sz="4" w:space="0"/>
            </w:tcBorders>
            <w:vAlign w:val="center"/>
          </w:tcPr>
          <w:p w14:paraId="46A0DF0A">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7.3.1教学经费以及教室、实验室、图书馆、体育场馆、艺术场馆等资源条件满足教学需要情况</w:t>
            </w:r>
          </w:p>
          <w:p w14:paraId="484873D5">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【必选】生均本科实验经费（元）</w:t>
            </w:r>
          </w:p>
          <w:p w14:paraId="61D73DDE">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【必选】生均本科实习经费（元）</w:t>
            </w:r>
          </w:p>
        </w:tc>
      </w:tr>
      <w:tr w14:paraId="631A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2BF21CA">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CE256F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ADE34BA">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7.3.2教师的数量、结构、教学水平、产学研用能力、国际视野、教学投入等满足人才培养需要情况</w:t>
            </w:r>
          </w:p>
          <w:p w14:paraId="44B5463F">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【必选】生师比</w:t>
            </w:r>
            <w:r>
              <w:rPr>
                <w:rFonts w:hint="default" w:ascii="Times New Roman" w:hAnsi="Times New Roman" w:eastAsia="仿宋" w:cs="Times New Roman"/>
                <w:sz w:val="28"/>
                <w:szCs w:val="28"/>
              </w:rPr>
              <w:t>（要求见备注8）</w:t>
            </w:r>
          </w:p>
          <w:p w14:paraId="331BBA71">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【必选】具有硕士学位、博士学位教师占专任教师比例≥</w:t>
            </w:r>
            <w:r>
              <w:rPr>
                <w:rFonts w:hint="default" w:ascii="Times New Roman" w:hAnsi="Times New Roman" w:eastAsia="仿宋" w:cs="Times New Roman"/>
                <w:color w:val="auto"/>
                <w:kern w:val="0"/>
                <w:sz w:val="28"/>
                <w:szCs w:val="28"/>
              </w:rPr>
              <w:t>50%</w:t>
            </w:r>
          </w:p>
        </w:tc>
      </w:tr>
      <w:tr w14:paraId="1D46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151F4501">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03E771F4">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7.4有效度</w:t>
            </w:r>
          </w:p>
        </w:tc>
        <w:tc>
          <w:tcPr>
            <w:gridSpan w:val="2"/>
            <w:tcBorders>
              <w:top w:val="single" w:color="auto" w:sz="4" w:space="0"/>
              <w:left w:val="single" w:color="auto" w:sz="4" w:space="0"/>
              <w:bottom w:val="single" w:color="auto" w:sz="4" w:space="0"/>
              <w:right w:val="single" w:color="auto" w:sz="4" w:space="0"/>
            </w:tcBorders>
            <w:vAlign w:val="center"/>
          </w:tcPr>
          <w:p w14:paraId="5AEBA47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7.4.1学校人才培养各环节有序运行情况</w:t>
            </w:r>
          </w:p>
        </w:tc>
      </w:tr>
      <w:tr w14:paraId="5191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710679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0295E7F">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6DE513CC">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7.4.2学校人才培养工作持续改进、持续提升情况</w:t>
            </w:r>
          </w:p>
        </w:tc>
      </w:tr>
      <w:tr w14:paraId="54C6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7DA8FAE7">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1D05B465">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2011640E">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7.4.3近五年专业领域的优秀毕业生十个典型案例及培养经验</w:t>
            </w:r>
          </w:p>
        </w:tc>
      </w:tr>
      <w:tr w14:paraId="1D90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69C3B359">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restart"/>
            <w:tcBorders>
              <w:top w:val="single" w:color="auto" w:sz="4" w:space="0"/>
              <w:left w:val="single" w:color="auto" w:sz="4" w:space="0"/>
              <w:bottom w:val="single" w:color="auto" w:sz="4" w:space="0"/>
              <w:right w:val="single" w:color="auto" w:sz="4" w:space="0"/>
            </w:tcBorders>
            <w:vAlign w:val="center"/>
          </w:tcPr>
          <w:p w14:paraId="53A33C8A">
            <w:pPr>
              <w:widowControl/>
              <w:adjustRightInd w:val="0"/>
              <w:snapToGrid w:val="0"/>
              <w:spacing w:line="400" w:lineRule="exact"/>
              <w:jc w:val="center"/>
              <w:rPr>
                <w:rFonts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7.5满意度</w:t>
            </w:r>
          </w:p>
        </w:tc>
        <w:tc>
          <w:tcPr>
            <w:gridSpan w:val="2"/>
            <w:tcBorders>
              <w:top w:val="single" w:color="auto" w:sz="4" w:space="0"/>
              <w:left w:val="single" w:color="auto" w:sz="4" w:space="0"/>
              <w:bottom w:val="single" w:color="auto" w:sz="4" w:space="0"/>
              <w:right w:val="single" w:color="auto" w:sz="4" w:space="0"/>
            </w:tcBorders>
            <w:vAlign w:val="center"/>
          </w:tcPr>
          <w:p w14:paraId="7AE35368">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7.5.1学生（毕业生与在校生）对学习与成长的满意度</w:t>
            </w:r>
          </w:p>
        </w:tc>
      </w:tr>
      <w:tr w14:paraId="4A0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293022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51414912">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082B43F4">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7.5.2教师对学校教育教学工作的满意度</w:t>
            </w:r>
          </w:p>
        </w:tc>
      </w:tr>
      <w:tr w14:paraId="787F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28EF396C">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2111B73">
            <w:pPr>
              <w:widowControl/>
              <w:adjustRightInd w:val="0"/>
              <w:snapToGrid w:val="0"/>
              <w:spacing w:line="400" w:lineRule="exact"/>
              <w:jc w:val="left"/>
              <w:rPr>
                <w:rFonts w:ascii="Times New Roman" w:hAnsi="Times New Roman" w:eastAsia="仿宋" w:cs="Times New Roman"/>
                <w:color w:val="000000"/>
                <w:kern w:val="0"/>
                <w:sz w:val="28"/>
                <w:szCs w:val="28"/>
              </w:rPr>
            </w:pPr>
          </w:p>
        </w:tc>
        <w:tc>
          <w:tcPr>
            <w:gridSpan w:val="2"/>
            <w:tcBorders>
              <w:top w:val="single" w:color="auto" w:sz="4" w:space="0"/>
              <w:left w:val="single" w:color="auto" w:sz="4" w:space="0"/>
              <w:bottom w:val="single" w:color="auto" w:sz="4" w:space="0"/>
              <w:right w:val="single" w:color="auto" w:sz="4" w:space="0"/>
            </w:tcBorders>
            <w:vAlign w:val="center"/>
          </w:tcPr>
          <w:p w14:paraId="7407A39F">
            <w:pPr>
              <w:widowControl/>
              <w:adjustRightInd w:val="0"/>
              <w:snapToGrid w:val="0"/>
              <w:spacing w:line="400" w:lineRule="exact"/>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7.5.3用人单位的满意度</w:t>
            </w:r>
          </w:p>
        </w:tc>
      </w:tr>
    </w:tbl>
    <w:p w14:paraId="01E8616F">
      <w:pPr>
        <w:spacing w:line="300" w:lineRule="exact"/>
        <w:rPr>
          <w:rFonts w:ascii="Times New Roman" w:hAnsi="Times New Roman" w:cs="Times New Roman"/>
          <w:b/>
          <w:kern w:val="0"/>
          <w:szCs w:val="21"/>
        </w:rPr>
      </w:pPr>
    </w:p>
    <w:p w14:paraId="3A71606A">
      <w:pPr>
        <w:adjustRightInd w:val="0"/>
        <w:snapToGrid w:val="0"/>
        <w:spacing w:line="400" w:lineRule="exact"/>
        <w:rPr>
          <w:rFonts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备注：</w:t>
      </w:r>
    </w:p>
    <w:p w14:paraId="6CECDB50">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1.第二类审核评估分为三种，学校可根据自身实际情况，选择且只能选择其中一种。</w:t>
      </w:r>
    </w:p>
    <w:p w14:paraId="497C4830">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2.二级指标和审核重点包括统一必选项、类型必选项、特色可选项、首评限选项。</w:t>
      </w:r>
    </w:p>
    <w:p w14:paraId="7B9D7E8A">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——“统一必选项”无特殊标识，所有高校必须选择；</w:t>
      </w:r>
    </w:p>
    <w:p w14:paraId="49E3B778">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——“类型必选项”标识“B”，选择第一种的高校须统一选择“B1”，选择第二种的高校须统一选择“B2”；选择第三种的高校原则上选择“B2”；</w:t>
      </w:r>
    </w:p>
    <w:p w14:paraId="5272116E">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——“特色可选项”标识“K”，高校可根据办学定位和人才培养目标自主选择，其中：第一种与“K1”选项对应，第二种与“K2”选项对应；第三种原则上与“K2”选项对应；</w:t>
      </w:r>
    </w:p>
    <w:p w14:paraId="55764946">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——“首评限选项”标识“X”，选择第三种的高校必须选择，其他高校不用选择。</w:t>
      </w:r>
    </w:p>
    <w:p w14:paraId="46B377D7">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3.审核重点中定量指标的具体要求可参考国家相关标准。其中，【必选】是指该定量指标学校必须选择；【可选】是指该定量指标学校可根据自身发展需要和实际情况自主选择至少8项。</w:t>
      </w:r>
    </w:p>
    <w:p w14:paraId="5DC8E187">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4.表中定量指标计算原则上参照《中国教育监测与评价统计指标体系（2020年版）》（教发〔2020〕6号）。</w:t>
      </w:r>
    </w:p>
    <w:p w14:paraId="664D37FA">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5.生均年教学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14:paraId="36BAEDD7">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6.年新增教学科研仪器设备所占比例（参照教育部教发〔2004〕2号文件）：年新增教学科研仪器设备所占比例≥10%。凡教学仪器设备总值超过1亿元的高校，当年新增教学仪器设备值超过1000万元，该项指标即为合格。</w:t>
      </w:r>
    </w:p>
    <w:p w14:paraId="4E33C707">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7.生均教学科研仪器设备值=普通高校教学与科研仪器设备总资产值/折合在校生数（参照教育部教发〔2004〕2号文件），综合、师范、民族院校，工科、农、林院校和医学院校≥5000元/生，体育、艺术院校≥4000元/生，语文、财经、政法院校≥3000元/生。</w:t>
      </w:r>
    </w:p>
    <w:p w14:paraId="15C8AB4B">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8.生师比=折合在校生数/专任教师总数（参照教育部教发〔2004〕2号文件），综合、师范、民族院校，工科、农、林院校和语文、财经、政法院校≤18:1；医学院校≤16:1；体育、艺术院校≤11:1。</w:t>
      </w:r>
    </w:p>
    <w:p w14:paraId="43FA9737">
      <w:pPr>
        <w:adjustRightInd w:val="0"/>
        <w:snapToGrid w:val="0"/>
        <w:spacing w:line="400" w:lineRule="exact"/>
        <w:ind w:firstLine="560" w:firstLineChars="200"/>
        <w:rPr>
          <w:rFonts w:ascii="Times New Roman" w:hAnsi="Times New Roman" w:eastAsia="仿宋" w:cs="Times New Roman"/>
          <w:kern w:val="0"/>
          <w:sz w:val="28"/>
          <w:szCs w:val="28"/>
        </w:rPr>
      </w:pPr>
      <w:r>
        <w:rPr>
          <w:rFonts w:hint="default" w:ascii="Times New Roman" w:hAnsi="Times New Roman" w:eastAsia="仿宋" w:cs="Times New Roman"/>
          <w:kern w:val="0"/>
          <w:sz w:val="28"/>
          <w:szCs w:val="28"/>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14:paraId="457A5B19">
      <w:pPr>
        <w:adjustRightInd w:val="0"/>
        <w:snapToGrid w:val="0"/>
        <w:spacing w:line="400" w:lineRule="exact"/>
        <w:ind w:firstLine="560" w:firstLineChars="200"/>
        <w:rPr>
          <w:rFonts w:ascii="Times New Roman" w:hAnsi="Times New Roman" w:eastAsia="宋体" w:cs="Times New Roman"/>
          <w:bCs/>
          <w:sz w:val="30"/>
          <w:szCs w:val="30"/>
        </w:rPr>
      </w:pPr>
      <w:r>
        <w:rPr>
          <w:rFonts w:hint="default" w:ascii="Times New Roman" w:hAnsi="Times New Roman" w:eastAsia="仿宋" w:cs="Times New Roman"/>
          <w:kern w:val="0"/>
          <w:sz w:val="28"/>
          <w:szCs w:val="28"/>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p w14:paraId="00A87083">
      <w:pPr>
        <w:spacing w:line="560" w:lineRule="exact"/>
        <w:rPr>
          <w:rFonts w:hint="default" w:ascii="Times New Roman" w:hAnsi="Times New Roman" w:eastAsia="仿宋_GB2312" w:cs="Times New Roman"/>
          <w:sz w:val="32"/>
          <w:szCs w:val="32"/>
        </w:rPr>
      </w:pPr>
    </w:p>
    <w:p w14:paraId="12AE4035">
      <w:pPr>
        <w:spacing w:line="560" w:lineRule="exact"/>
        <w:rPr>
          <w:rFonts w:hint="default" w:ascii="Times New Roman" w:hAnsi="Times New Roman" w:eastAsia="仿宋_GB2312" w:cs="Times New Roman"/>
          <w:sz w:val="32"/>
          <w:szCs w:val="32"/>
        </w:rPr>
      </w:pPr>
    </w:p>
    <w:p w14:paraId="613238E0">
      <w:pPr>
        <w:spacing w:line="560" w:lineRule="exact"/>
        <w:rPr>
          <w:rFonts w:hint="default" w:ascii="Times New Roman" w:hAnsi="Times New Roman" w:eastAsia="仿宋_GB2312" w:cs="Times New Roman"/>
          <w:sz w:val="32"/>
          <w:szCs w:val="32"/>
        </w:rPr>
      </w:pPr>
    </w:p>
    <w:p w14:paraId="332AAD3C">
      <w:pPr>
        <w:spacing w:line="560" w:lineRule="exact"/>
        <w:rPr>
          <w:rFonts w:hint="default" w:ascii="Times New Roman" w:hAnsi="Times New Roman" w:eastAsia="仿宋_GB2312" w:cs="Times New Roman"/>
          <w:sz w:val="32"/>
          <w:szCs w:val="32"/>
        </w:rPr>
      </w:pPr>
    </w:p>
    <w:p w14:paraId="1105D03F">
      <w:pPr>
        <w:spacing w:line="560" w:lineRule="exact"/>
        <w:rPr>
          <w:rFonts w:hint="default" w:ascii="Times New Roman" w:hAnsi="Times New Roman" w:eastAsia="仿宋_GB2312" w:cs="Times New Roman"/>
          <w:sz w:val="32"/>
          <w:szCs w:val="32"/>
        </w:rPr>
      </w:pPr>
    </w:p>
    <w:p w14:paraId="07E4D9AC">
      <w:pPr>
        <w:spacing w:line="560" w:lineRule="exact"/>
        <w:rPr>
          <w:rFonts w:hint="default" w:ascii="Times New Roman" w:hAnsi="Times New Roman" w:eastAsia="仿宋_GB2312" w:cs="Times New Roman"/>
          <w:sz w:val="32"/>
          <w:szCs w:val="32"/>
        </w:rPr>
      </w:pPr>
    </w:p>
    <w:p w14:paraId="43CFA2DF">
      <w:pPr>
        <w:spacing w:line="560" w:lineRule="exact"/>
        <w:rPr>
          <w:rFonts w:hint="default" w:ascii="Times New Roman" w:hAnsi="Times New Roman" w:eastAsia="仿宋_GB2312" w:cs="Times New Roman"/>
          <w:sz w:val="32"/>
          <w:szCs w:val="32"/>
        </w:rPr>
      </w:pPr>
    </w:p>
    <w:p w14:paraId="63BF74F4">
      <w:pPr>
        <w:spacing w:line="560" w:lineRule="exact"/>
        <w:rPr>
          <w:rFonts w:hint="default" w:ascii="Times New Roman" w:hAnsi="Times New Roman" w:eastAsia="仿宋_GB2312" w:cs="Times New Roman"/>
          <w:sz w:val="32"/>
          <w:szCs w:val="32"/>
        </w:rPr>
      </w:pPr>
    </w:p>
    <w:p w14:paraId="0830D3C4">
      <w:pPr>
        <w:spacing w:line="560" w:lineRule="exact"/>
        <w:rPr>
          <w:rFonts w:hint="default" w:ascii="Times New Roman" w:hAnsi="Times New Roman" w:eastAsia="仿宋_GB2312" w:cs="Times New Roman"/>
          <w:sz w:val="32"/>
          <w:szCs w:val="32"/>
        </w:rPr>
      </w:pPr>
    </w:p>
    <w:p w14:paraId="545A331C">
      <w:pPr>
        <w:spacing w:line="560" w:lineRule="exact"/>
        <w:rPr>
          <w:rFonts w:hint="default" w:ascii="Times New Roman" w:hAnsi="Times New Roman" w:eastAsia="仿宋_GB2312" w:cs="Times New Roman"/>
          <w:sz w:val="32"/>
          <w:szCs w:val="32"/>
        </w:rPr>
      </w:pPr>
    </w:p>
    <w:p w14:paraId="1C68B2B9">
      <w:pPr>
        <w:numPr>
          <w:ilvl w:val="0"/>
          <w:numId w:val="0"/>
        </w:numPr>
        <w:spacing w:line="560" w:lineRule="exact"/>
        <w:rPr>
          <w:rFonts w:ascii="Times New Roman" w:hAnsi="Times New Roman"/>
        </w:rPr>
      </w:pPr>
      <w:bookmarkStart w:id="0" w:name="_GoBack"/>
      <w:bookmarkEnd w:id="0"/>
    </w:p>
    <w:sectPr>
      <w:footerReference r:id="rId3" w:type="default"/>
      <w:pgSz w:w="11906" w:h="16838"/>
      <w:pgMar w:top="1928" w:right="1531" w:bottom="1928" w:left="1531" w:header="851" w:footer="141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F38DD7-4F05-4B65-9DD4-5BBC6D7ABD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877471D8-3F50-4E62-87DE-A9E9555D0D0D}"/>
  </w:font>
  <w:font w:name="仿宋">
    <w:panose1 w:val="02010609060101010101"/>
    <w:charset w:val="86"/>
    <w:family w:val="modern"/>
    <w:pitch w:val="default"/>
    <w:sig w:usb0="800002BF" w:usb1="38CF7CFA" w:usb2="00000016" w:usb3="00000000" w:csb0="00040001" w:csb1="00000000"/>
    <w:embedRegular r:id="rId3" w:fontKey="{85DB8717-AED6-497B-B1A9-1B52E807FB19}"/>
  </w:font>
  <w:font w:name="仿宋_GB2312">
    <w:panose1 w:val="02010609030101010101"/>
    <w:charset w:val="86"/>
    <w:family w:val="auto"/>
    <w:pitch w:val="default"/>
    <w:sig w:usb0="00000001" w:usb1="080E0000" w:usb2="00000000" w:usb3="00000000" w:csb0="00040000" w:csb1="00000000"/>
    <w:embedRegular r:id="rId4" w:fontKey="{6BA597A8-40E7-44C8-932F-26B3915C5A6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35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B7FB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31CB7FBB">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945D0"/>
    <w:multiLevelType w:val="singleLevel"/>
    <w:tmpl w:val="639945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trackRevisions w:val="1"/>
  <w:documentProtection w:enforcement="0"/>
  <w:defaultTabStop w:val="420"/>
  <w:drawingGridVerticalSpacing w:val="158"/>
  <w:displayVerticalDrawingGridEvery w:val="2"/>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mNjYzkxMTgzYWIzNDQyZjdhOTgzYjA2MTdjOGYifQ=="/>
    <w:docVar w:name="KGWebUrl" w:val="https://oa.zjedu.gov.cn/aigov-service/api/iweboffice/officeServer/loadFile"/>
  </w:docVars>
  <w:rsids>
    <w:rsidRoot w:val="F79D5522"/>
    <w:rsid w:val="071149FD"/>
    <w:rsid w:val="0F946CE7"/>
    <w:rsid w:val="0FFF7461"/>
    <w:rsid w:val="18EB7AC1"/>
    <w:rsid w:val="2111051B"/>
    <w:rsid w:val="22345729"/>
    <w:rsid w:val="35771778"/>
    <w:rsid w:val="41FF7A0B"/>
    <w:rsid w:val="43CB7067"/>
    <w:rsid w:val="5082462F"/>
    <w:rsid w:val="57350D62"/>
    <w:rsid w:val="57BE5A99"/>
    <w:rsid w:val="5FFE6674"/>
    <w:rsid w:val="642163D1"/>
    <w:rsid w:val="64EE0E9A"/>
    <w:rsid w:val="68051E61"/>
    <w:rsid w:val="6EE6065A"/>
    <w:rsid w:val="7FFDC37E"/>
    <w:rsid w:val="D77969FB"/>
    <w:rsid w:val="EDF5A6D0"/>
    <w:rsid w:val="F79D55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6910</Words>
  <Characters>7636</Characters>
  <Lines>0</Lines>
  <Paragraphs>0</Paragraphs>
  <TotalTime>157263870</TotalTime>
  <ScaleCrop>false</ScaleCrop>
  <LinksUpToDate>false</LinksUpToDate>
  <CharactersWithSpaces>7640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2022-12-14T07:52:00Z</dcterms:created>
  <dc:creator>jyt</dc:creator>
  <cp:lastModifiedBy>coco</cp:lastModifiedBy>
  <cp:lastPrinted>2024-10-15T00:36:00Z</cp:lastPrinted>
  <dcterms:modified xsi:type="dcterms:W3CDTF">2024-10-15T00:50:23Z</dcterms:modified>
  <dc:title>浙江省教育厅关于印发《浙江省普通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12C74BF881F44E8DBB482B2437034F89_13</vt:lpwstr>
  </property>
</Properties>
</file>